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1_________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2______________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>3______________</w:t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0" w:beforeAutoSpacing="false" w:after="0" w:afterAutoSpacing="false" w:line="235" w:lineRule="atLeast"/>
      </w:pPr>
      <w:r>
        <w:rPr>
          <w:b/>
          <w:color w:val="000000"/>
          <w:sz w:val="28"/>
        </w:rPr>
        <w:t xml:space="preserve">O‘rindoshlik asosida ishga qabul qilish to‘g‘risida</w:t>
      </w:r>
    </w:p>
    <w:p>
      <w:pPr>
        <w:pStyle w:val="a3"/>
        <w:ind w:firstLine="709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Mehnat kodeksining 432-moddasi. O‘rindoshlik asosida ishlash tushunchasi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O‘rindoshlik asosida ishlash xodimning o‘zining asosiy ishidan tashqari alohida mehnat shartnomasi shartlari bo‘yicha asosiy ishidan bo‘sh vaqtida boshqa muntazam haq to‘lanadigan ishni bajarishidir.</w:t>
      </w:r>
    </w:p>
    <w:p>
      <w:pPr>
        <w:pStyle w:val="a3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O‘rindoshlik asosidagi ish xodim tomonidan o‘zining asosiy ish joyida (ichki o‘rindoshlik) yoki boshqa ish beruvchida (tashqi o‘rindoshlik) bajarilishi mumkin.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O‘rindoshning asosiy ish joyi, ushbu ish to‘liq yoki to‘liqsiz ish vaqti shartlari asosida bajarilishidan qat’i nazar, xodimning mehnat daftarchasi yuritilayotgan ish beruvchidagi ishidir.</w:t>
      </w: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127, 432–442-moddalari hamda O‘zbekiston Respublikasi Vazirlar Mahkamasining 2012-yil 18-oktabrdagi 297-son qarori bilan tasdiqlangan “O‘rindoshlik asosida hamda bir necha kasbda va lavozimda ishlash tartibi to‘g‘risida”gi nizomga muvofiq,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center"/>
        <w:ind w:firstLine="709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2"/>
          <w:rFonts w:ascii="Calibri" w:hAnsi="Calibri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lavozimiga o‘rindoshlik asosida belgilangan oylik maosh bilan ishga qabul qilinsin.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Tomonlar o‘rtasida tuzilgan mehnat shartnomasiga ko‘ra,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ning ishga chiqish vaqti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ishga chiqish sanasi</w:t>
        <w:fldChar w:fldCharType="end"/>
      </w:r>
      <w:r>
        <w:rPr>
          <w:color w:val="000000"/>
          <w:sz w:val="28"/>
        </w:rPr>
        <w:t xml:space="preserve">kuni etib belgilanganligi inobatga olinsin.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3. 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127, 432–442-moddalari hamda O‘zbekiston Respublikasi Vazirlar Mahkamasining 2012-yil 18-oktabrdagi 297-son qarori bilan tasdiqlangan “O‘rindoshlik asosida hamda bir necha kasbda va lavozimda ishlash tartibi to‘g‘risida”gi nizom,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2"/>
        </w:rPr>
        <w:t xml:space="preserve">bilan tuzilgan mehnat shartnomasi</w:t>
      </w:r>
      <w:r>
        <w:rPr>
          <w:color w:val="000000"/>
        </w:rPr>
        <w:t>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ab/>
        <w:tab/>
        <w:tab/>
        <w:tab/>
        <w:tab/>
        <w:t xml:space="preserve">     (imzo</w:t>
      </w: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C0"/>
    <w:rsid w:val="000505D0"/>
    <w:rsid w:val="00162AC0"/>
    <w:rsid w:val="002C7A0B"/>
    <w:rsid w:val="003A2252"/>
    <w:rsid w:val="0049512B"/>
    <w:rsid w:val="005E2FC3"/>
    <w:rsid w:val="006A69EB"/>
    <w:rsid w:val="00752E69"/>
    <w:rsid w:val="00A71014"/>
    <w:rsid w:val="00D5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1086"/>
  <w15:chartTrackingRefBased/>
  <w15:docId w15:val="{C58A4922-5AC3-4615-A402-18916BF31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5E2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7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53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89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55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864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2025-01-07T12:12:00Z</dcterms:created>
  <dcterms:modified xsi:type="dcterms:W3CDTF">2025-01-16T07:42:00Z</dcterms:modified>
</cp:coreProperties>
</file>

<file path=legal/structure.xml><?xml version="1.0" encoding="utf-8"?>
<w:structure xmlns:w="http://schemas.openxmlformats.org/wordprocessingml/2006/main">
  <w:element w:id="2" w:kind="category" w:type="string" w:valueMode="normal" w:required="false" w:groupID="2">
    <w:identifier xml:space="preserve">ID2</w:identifier>
    <w:name xml:space="preserve">Buyruq rekvizitlari</w:name>
    <w:value w:hidden="true">
      <w:unit w:active="false"/>
    </w:value>
  </w:element>
  <w:element w:id="3" w:kind="variable" w:type="string" w:valueMode="normal" w:required="false" w:groupID="2">
    <w:identifier xml:space="preserve">ID3</w:identifier>
    <w:name xml:space="preserve">Buyruq qabul qilingan sana</w:name>
    <w:value w:hidden="false">
      <w:unit w:active="false"/>
    </w:value>
  </w:element>
  <w:element w:id="4" w:kind="variable" w:type="string" w:valueMode="normal" w:required="false" w:groupID="2">
    <w:identifier xml:space="preserve">ID4</w:identifier>
    <w:name xml:space="preserve">Buyruq raqami</w:name>
    <w:value w:hidden="false">
      <w:unit w:active="false"/>
    </w:value>
  </w:element>
  <w:element w:id="5" w:kind="variable" w:type="string" w:valueMode="normal" w:required="false" w:groupID="2">
    <w:identifier xml:space="preserve">ID5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familiyasi, ismi, otasining ismi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Xodimning lavozimi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Xodimning ishga chiqish sanasi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Buyruq chiqargan shaxsning F.I.O.si</w:name>
    <w:value w:hidden="false">
      <w:unit w:active="false"/>
    </w:value>
  </w:element>
</w:structure>
</file>