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Pr>
      <w:tblGrid>
        <w:gridCol w:w="9464"/>
      </w:tblGrid>
      <w:tr>
        <w:tc>
          <w:tcPr>
            <w:tcW w:w="9464" w:type="dxa"/>
            <w:shd w:fill="auto"/>
          </w:tcPr>
          <w:p>
            <w:pPr>
              <w:jc w:val="right"/>
              <w:ind w:left="4536"/>
              <w:spacing w:after="0" w:line="240" w:lineRule="auto"/>
              <w:rPr>
                <w:sz w:val="24"/>
                <w:rFonts w:ascii="Times New Roman" w:hAnsi="Times New Roman"/>
              </w:rPr>
            </w:pPr>
            <w:r>
              <w:rPr>
                <w:b/>
                <w:sz w:val="24"/>
                <w:rFonts w:ascii="Times New Roman" w:hAnsi="Times New Roman"/>
              </w:rPr>
              <w:t xml:space="preserve">Fuqarolik ishlari boʻyicha</w:t>
            </w: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vanish w:val="false"/>
                <w:sz w:val="24"/>
                <w:rFonts w:ascii="Times New Roman" w:hAnsi="Times New Roman"/>
              </w:rPr>
              <w:fldChar w:fldCharType="end"/>
            </w:r>
            <w:r>
              <w:rPr>
                <w:b/>
                <w:sz w:val="24"/>
                <w:rFonts w:ascii="Times New Roman" w:hAnsi="Times New Roman"/>
              </w:rPr>
              <w:t>ga</w:t>
            </w:r>
          </w:p>
        </w:tc>
      </w:tr>
      <w:tr>
        <w:tc>
          <w:tcPr>
            <w:tcW w:w="9464" w:type="dxa"/>
            <w:shd w:fill="auto"/>
          </w:tcPr>
          <w:p>
            <w:pPr>
              <w:jc w:val="right"/>
              <w:ind w:left="4536"/>
              <w:spacing w:after="0" w:line="252" w:lineRule="auto"/>
              <w:rPr>
                <w:sz w:val="24"/>
                <w:rFonts w:ascii="Times New Roman" w:hAnsi="Times New Roman"/>
              </w:rPr>
            </w:pPr>
          </w:p>
        </w:tc>
      </w:tr>
      <w:tr>
        <w:tc>
          <w:tcPr>
            <w:tcW w:w="9464" w:type="dxa"/>
            <w:shd w:fill="auto"/>
          </w:tcPr>
          <w:p>
            <w:pPr>
              <w:jc w:val="right"/>
              <w:ind w:left="4536"/>
              <w:spacing w:after="0" w:line="252"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9464" w:type="dxa"/>
            <w:shd w:fill="auto"/>
          </w:tcPr>
          <w:p>
            <w:pPr>
              <w:jc w:val="right"/>
              <w:ind w:left="4536"/>
              <w:spacing w:after="0" w:line="252"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9464" w:type="dxa"/>
            <w:shd w:fill="auto"/>
          </w:tcPr>
          <w:p>
            <w:pPr>
              <w:jc w:val="right"/>
              <w:ind w:left="4536"/>
              <w:spacing w:after="0" w:line="252" w:lineRule="auto"/>
              <w:rPr>
                <w:b/>
                <w:sz w:val="24"/>
                <w:rFonts w:ascii="Times New Roman" w:hAnsi="Times New Roman"/>
              </w:rPr>
            </w:pPr>
          </w:p>
        </w:tc>
      </w:tr>
      <w:tr>
        <w:tc>
          <w:tcPr>
            <w:tcW w:w="9464" w:type="dxa"/>
            <w:shd w:fill="auto"/>
          </w:tcPr>
          <w:p>
            <w:pPr>
              <w:jc w:val="right"/>
              <w:ind w:left="4536"/>
              <w:spacing w:after="0" w:line="252" w:lineRule="auto"/>
              <w:rPr>
                <w:b/>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tc>
      </w:tr>
      <w:tr>
        <w:tc>
          <w:tcPr>
            <w:tcW w:w="9464" w:type="dxa"/>
            <w:shd w:fill="auto"/>
          </w:tcPr>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p>
          <w:p>
            <w:pPr>
              <w:jc w:val="right"/>
              <w:ind w:left="4536"/>
              <w:spacing w:after="0" w:line="252" w:lineRule="auto"/>
              <w:rPr>
                <w:i/>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pStyle w:val="ConsPlusNonformat"/>
        <w:jc w:val="right"/>
        <w:rPr>
          <w:sz w:val="24"/>
          <w:rFonts w:ascii="Times New Roman" w:hAnsi="Times New Roman"/>
        </w:rPr>
      </w:pPr>
    </w:p>
    <w:p>
      <w:pPr>
        <w:pStyle w:val="ConsPlusNonformat"/>
        <w:jc w:val="right"/>
        <w:rPr>
          <w:sz w:val="24"/>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 xml:space="preserve">D A ʼ V O   A R I Z A</w:t>
      </w:r>
    </w:p>
    <w:p>
      <w:pPr>
        <w:pStyle w:val="ConsPlusNonformat"/>
        <w:jc w:val="center"/>
        <w:rPr>
          <w:sz w:val="24"/>
          <w:rFonts w:ascii="Times New Roman" w:hAnsi="Times New Roman"/>
        </w:rPr>
      </w:pPr>
      <w:r>
        <w:rPr>
          <w:sz w:val="24"/>
          <w:rFonts w:ascii="Times New Roman" w:hAnsi="Times New Roman"/>
        </w:rPr>
        <w:t>(</w:t>
      </w:r>
      <w:r>
        <w:rPr>
          <w:i/>
          <w:vanish w:val="false"/>
          <w:sz w:val="24"/>
          <w:rFonts w:ascii="Times New Roman" w:hAnsi="Times New Roman"/>
        </w:rPr>
        <w:fldChar w:fldCharType="begin"/>
        <w:instrText xml:space="preserve">X {"Y":25}</w:instrText>
        <w:fldChar w:fldCharType="separate"/>
        <w:t xml:space="preserve">Daʼvo ariza mazmuni</w:t>
      </w:r>
      <w:r>
        <w:rPr>
          <w:i/>
          <w:vanish w:val="false"/>
          <w:sz w:val="24"/>
          <w:rFonts w:ascii="Times New Roman" w:hAnsi="Times New Roman"/>
        </w:rPr>
        <w:fldChar w:fldCharType="end"/>
      </w:r>
      <w:r>
        <w:rPr>
          <w:i/>
          <w:sz w:val="24"/>
          <w:rFonts w:ascii="Times New Roman" w:hAnsi="Times New Roman"/>
        </w:rPr>
        <w:t xml:space="preserve"> huquqidan mahrum etish toʻgʻrisida</w:t>
      </w:r>
      <w:r>
        <w:rPr>
          <w:sz w:val="24"/>
          <w:rFonts w:ascii="Times New Roman" w:hAnsi="Times New Roman"/>
        </w:rPr>
        <w:t>)</w:t>
      </w:r>
    </w:p>
    <w:p>
      <w:pPr>
        <w:pStyle w:val="ConsPlusNonformat"/>
        <w:jc w:val="center"/>
        <w:rPr>
          <w:sz w:val="24"/>
          <w:rFonts w:ascii="Times New Roman" w:hAnsi="Times New Roman"/>
        </w:rPr>
      </w:pPr>
    </w:p>
    <w:p>
      <w:pPr>
        <w:pStyle w:val="ConsPlusNonformat"/>
        <w:jc w:val="both"/>
        <w:ind w:firstLine="709"/>
        <w:rPr>
          <w:sz w:val="24"/>
          <w:rFonts w:ascii="Times New Roman" w:hAnsi="Times New Roman"/>
        </w:rPr>
      </w:pPr>
      <w:r>
        <w:rPr>
          <w:sz w:val="24"/>
          <w:rFonts w:ascii="Times New Roman" w:hAnsi="Times New Roman"/>
        </w:rPr>
        <w:t xml:space="preserve">Men va javobgar oʻrtamizdagi qonuniy nikoh </w:t>
      </w:r>
      <w:r>
        <w:rPr>
          <w:vanish w:val="false"/>
          <w:sz w:val="24"/>
          <w:rFonts w:ascii="Times New Roman" w:hAnsi="Times New Roman"/>
        </w:rPr>
        <w:fldChar w:fldCharType="begin"/>
        <w:instrText xml:space="preserve">X {"Y":15}</w:instrText>
        <w:fldChar w:fldCharType="separate"/>
        <w:t xml:space="preserve">Daʼvogar va javobgar qonuniy nikohdan o‘tgan FHDYO bo‘limi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{"Y":16}</w:instrText>
        <w:fldChar w:fldCharType="separate"/>
        <w:t xml:space="preserve">Daʼvogar va javobgar o‘rtasida qonuniy nikoh qayd etilgan sana</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{"Y":17}</w:instrText>
        <w:fldChar w:fldCharType="separate"/>
        <w:t xml:space="preserve">Nikoh guvohnomasining dalolatnoma yozuvi raqami</w:t>
      </w:r>
      <w:r>
        <w:rPr>
          <w:vanish w:val="false"/>
          <w:sz w:val="24"/>
          <w:rFonts w:ascii="Times New Roman" w:hAnsi="Times New Roman"/>
        </w:rPr>
        <w:fldChar w:fldCharType="end"/>
      </w:r>
      <w:r>
        <w:rPr>
          <w:sz w:val="24"/>
          <w:rFonts w:ascii="Times New Roman" w:hAnsi="Times New Roman"/>
        </w:rPr>
        <w:t xml:space="preserve">-son bilan qayd etilgan.</w:t>
      </w:r>
    </w:p>
    <w:p>
      <w:pPr>
        <w:pStyle w:val="ConsPlusNonformat"/>
        <w:jc w:val="both"/>
        <w:ind w:firstLine="709"/>
        <w:rPr>
          <w:sz w:val="24"/>
          <w:rFonts w:ascii="Times New Roman" w:hAnsi="Times New Roman"/>
        </w:rPr>
      </w:pPr>
      <w:r>
        <w:rPr>
          <w:sz w:val="24"/>
          <w:rFonts w:ascii="Times New Roman" w:hAnsi="Times New Roman"/>
        </w:rPr>
        <w:t xml:space="preserve">Birgalikdagi turmushimizdan </w:t>
      </w:r>
      <w:r>
        <w:rPr>
          <w:vanish w:val="false"/>
          <w:sz w:val="24"/>
          <w:rFonts w:ascii="Times New Roman" w:hAnsi="Times New Roman"/>
        </w:rPr>
        <w:fldChar w:fldCharType="begin"/>
        <w:instrText xml:space="preserve">X {"Y":18}</w:instrText>
        <w:fldChar w:fldCharType="separate"/>
        <w:t xml:space="preserve">Tomonlarning farzandi tug‘ilgan sana</w:t>
      </w:r>
      <w:r>
        <w:rPr>
          <w:vanish w:val="false"/>
          <w:sz w:val="24"/>
          <w:rFonts w:ascii="Times New Roman" w:hAnsi="Times New Roman"/>
        </w:rPr>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{"Y":19}</w:instrText>
        <w:fldChar w:fldCharType="separate"/>
        <w:t xml:space="preserve">Tomonlarnig farzandini F.I.O.si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ismli (tugʻilganlik haqida </w:t>
      </w:r>
      <w:r>
        <w:rPr>
          <w:vanish w:val="false"/>
          <w:sz w:val="24"/>
          <w:rFonts w:ascii="Times New Roman" w:hAnsi="Times New Roman"/>
        </w:rPr>
        <w:fldChar w:fldCharType="begin"/>
        <w:instrText xml:space="preserve">X {"Y":20}</w:instrText>
        <w:fldChar w:fldCharType="separate"/>
        <w:t xml:space="preserve">Tomonlarnig farzandiga tug‘ilganlik to‘g‘risida guvohnoma seriyasi</w:t>
      </w:r>
      <w:r>
        <w:rPr>
          <w:vanish w:val="false"/>
          <w:sz w:val="24"/>
          <w:rFonts w:ascii="Times New Roman" w:hAnsi="Times New Roman"/>
        </w:rPr>
        <w:fldChar w:fldCharType="end"/>
      </w:r>
      <w:r>
        <w:rPr>
          <w:sz w:val="24"/>
          <w:rFonts w:ascii="Times New Roman" w:hAnsi="Times New Roman"/>
        </w:rPr>
        <w:t xml:space="preserve"> № </w:t>
      </w:r>
      <w:r>
        <w:rPr>
          <w:vanish w:val="false"/>
          <w:sz w:val="24"/>
          <w:rFonts w:ascii="Times New Roman" w:hAnsi="Times New Roman"/>
        </w:rPr>
        <w:fldChar w:fldCharType="begin"/>
        <w:instrText xml:space="preserve">X {"Y":23}</w:instrText>
        <w:fldChar w:fldCharType="separate"/>
        <w:t xml:space="preserve">Tomonlarnig farzandiga tug‘ilganlik to‘g‘risida guvohnoma raqami</w:t>
      </w:r>
      <w:r>
        <w:rPr>
          <w:vanish w:val="false"/>
          <w:sz w:val="24"/>
          <w:rFonts w:ascii="Times New Roman" w:hAnsi="Times New Roman"/>
        </w:rPr>
        <w:fldChar w:fldCharType="end"/>
      </w:r>
      <w:r>
        <w:rPr>
          <w:sz w:val="24"/>
          <w:rFonts w:ascii="Times New Roman" w:hAnsi="Times New Roman"/>
        </w:rPr>
        <w:t xml:space="preserve">, seriya va raqamli guvohnoma </w:t>
      </w:r>
      <w:r>
        <w:rPr>
          <w:vanish w:val="false"/>
          <w:sz w:val="24"/>
          <w:rFonts w:ascii="Times New Roman" w:hAnsi="Times New Roman"/>
        </w:rPr>
        <w:fldChar w:fldCharType="begin"/>
        <w:instrText xml:space="preserve">X {"Y":21}</w:instrText>
        <w:fldChar w:fldCharType="separate"/>
        <w:t xml:space="preserve">Tug‘ilganlik to‘g‘risidagi guvohnomani bergan FHDYO bo‘limi nomi</w:t>
      </w:r>
      <w:r>
        <w:rPr>
          <w:vanish w:val="false"/>
          <w:sz w:val="24"/>
          <w:rFonts w:ascii="Times New Roman" w:hAnsi="Times New Roman"/>
        </w:rPr>
        <w:fldChar w:fldCharType="end"/>
      </w:r>
      <w:r>
        <w:rPr>
          <w:sz w:val="24"/>
          <w:rFonts w:ascii="Times New Roman" w:hAnsi="Times New Roman"/>
        </w:rPr>
        <w:t xml:space="preserve"> tomonidan berilgan) farzandimiz bor.</w:t>
      </w:r>
    </w:p>
    <w:p>
      <w:pPr>
        <w:pStyle w:val="ConsPlusNonformat"/>
        <w:jc w:val="both"/>
        <w:ind w:firstLine="709"/>
        <w:tabs>
          <w:tab w:val="left" w:pos="5670"/>
        </w:tabs>
        <w:rPr>
          <w:i/>
          <w:sz w:val="24"/>
          <w:rFonts w:ascii="Times New Roman" w:hAnsi="Times New Roman"/>
        </w:rPr>
      </w:pPr>
      <w:r>
        <w:rPr>
          <w:vanish w:val="false"/>
          <w:sz w:val="24"/>
          <w:rFonts w:ascii="Times New Roman" w:hAnsi="Times New Roman"/>
        </w:rPr>
        <w:fldChar w:fldCharType="begin"/>
        <w:instrText xml:space="preserve">X {"Y":22}</w:instrText>
        <w:fldChar w:fldCharType="separate"/>
        <w:t xml:space="preserve">Ota-onalik huquqidan mahrum qilish uchun asos sifatida keltirilayotgan holatlar</w:t>
      </w:r>
      <w:r>
        <w:rPr>
          <w:vanish w:val="false"/>
          <w:sz w:val="24"/>
          <w:rFonts w:ascii="Times New Roman" w:hAnsi="Times New Roman"/>
        </w:rPr>
        <w:fldChar w:fldCharType="end"/>
      </w:r>
      <w:r>
        <w:rPr>
          <w:sz w:val="24"/>
          <w:rFonts w:ascii="Times New Roman" w:hAnsi="Times New Roman"/>
        </w:rPr>
        <w:t xml:space="preserve"> kabi asoslarga koʻra, javobgarni </w:t>
      </w:r>
      <w:r>
        <w:rPr>
          <w:vanish w:val="false"/>
          <w:sz w:val="24"/>
          <w:rFonts w:ascii="Times New Roman" w:hAnsi="Times New Roman"/>
        </w:rPr>
        <w:fldChar w:fldCharType="begin"/>
        <w:instrText xml:space="preserve">X {"Y":25}</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huquqidan mahrum qilish lozim deb hisoblayman. c</w:t>
      </w:r>
    </w:p>
    <w:p>
      <w:pPr>
        <w:pStyle w:val="ConsPlusNonformat"/>
        <w:jc w:val="both"/>
        <w:ind w:firstLine="709"/>
        <w:tabs>
          <w:tab w:val="left" w:pos="5670"/>
        </w:tabs>
        <w:rPr>
          <w:i/>
          <w:sz w:val="24"/>
          <w:rFonts w:ascii="Times New Roman" w:hAnsi="Times New Roman"/>
        </w:rPr>
      </w:pPr>
      <w:r>
        <w:rPr>
          <w:sz w:val="24"/>
          <w:rFonts w:ascii="Times New Roman" w:hAnsi="Times New Roman"/>
        </w:rPr>
        <w:t xml:space="preserve">Oʻzbekiston Respublikasi Oila Kodeksining 79-moddasiga binoan, ota-ona (ulardan biri) quyidagi hollarda, yaʼni ota-onalik majburiyatlarini bajarishdan bosh tortsa, shu jumladan aliment toʻlashdan boʻyin tovlasa, uzrsiz sabablarga koʻra oʻz bolasini tugʻruqxona yoki boshqa davolash muassasasidan, tarbiya, aholini ijtimoiy himoyalash muassasasi va shunga oʻxshash boshqa muassasalardan olishdan bosh tortsa, ota-onalik huquqini suiisteʼmol qilsa, bolalarga nisbatan shafqatsiz muomalada boʻlsa, jumladan jismoniy kuch ishlatsa yoki ruhiy taʼsir koʻrsatsa, muttasil ichkilikbozlik yoki giyovandlikka mubtalo boʻlgan boʻlsa, oʻz bolalarining hayoti yoki sogʻligʻiga yoxud eri (xotini)ning hayoti yoki sogʻligʻiga qarshi qasddan jinoyat sodir qilgan boʻlsa, ota-onalik huquqidan mahrum qilinishi mumkin.</w:t>
      </w:r>
    </w:p>
    <w:p>
      <w:pPr>
        <w:jc w:val="both"/>
        <w:ind w:firstLine="709"/>
        <w:spacing w:after="0"/>
        <w:rPr>
          <w:sz w:val="24"/>
          <w:rFonts w:ascii="Times New Roman" w:hAnsi="Times New Roman"/>
        </w:rPr>
      </w:pPr>
      <w:r>
        <w:rPr>
          <w:sz w:val="24"/>
          <w:rFonts w:ascii="Times New Roman" w:hAnsi="Times New Roman"/>
        </w:rPr>
        <w:t xml:space="preserve">Oʻzbekiston Respublikasi Oliy sudi Plenumining 1998-yil 11-sentyabrdagi </w:t>
        <w:br/>
        <w:t xml:space="preserve">C23-sonli “Bolalar tarbiyasi bilan bogʻliq boʻlgan nizolarni hal qilishda sudlar tomonidan qonunlarni qoʻllash amaliyoti toʻgʻrisida”gi qarorining</w:t>
      </w:r>
      <w:r>
        <w:rPr>
          <w:i/>
          <w:sz w:val="24"/>
          <w:rFonts w:ascii="Times New Roman" w:hAnsi="Times New Roman"/>
        </w:rPr>
        <w:t xml:space="preserve"> </w:t>
      </w:r>
      <w:r>
        <w:rPr>
          <w:sz w:val="24"/>
          <w:rFonts w:ascii="Times New Roman" w:hAnsi="Times New Roman"/>
        </w:rPr>
        <w:t xml:space="preserve">15-bandiga asosan, ota-onalik majburiyatlarini bajarishdan boʻyin tovlashlik deganda – ota-onalik burchlarini uzluksiz ravishda bajarmaslik, oʻz bolalariga qanday boʻlmasin gʻamxoʻrlik qilmaslik tushuniladi. Bolalarning yoshlariga qarab ota (ona)ning har bir aniq holatdagi harakati (harakatsizligi) bola uchun uni halokatga olib keladi. Aliment toʻlashdan bosh tortganda bu fakt sudning hukmi bilan tasdiqlanishi shart emas. Aliment toʻlash, oʻz bolalarini moddiy taʼminlashdan doimiy ravishda qochishga uringanligiga ishonch hosil qilishlikning oʻzi kifoyadir. Uzrsiz sabablarga koʻra bolasini tugʻruqxonadan va boshqa bolalarni davolash profilaktoriyasi va oʻquv-tarbiya muassasalaridan olishdan bosh tortganlik tugʻruqxona va bolalarni davolash profilaktoriyasi va oʻquv-tarbiya muassasasi komissiyalari tomonidan tegishli tartibda rasmiylashtirilgan boʻlishi lozim. Ota-onaning oʻz majburiyatlarini bajarishdan boʻyin tovlaganliklari ularning bolalarining maʼnaviy tarbiyasi, jismoniy rivojlanishi, taʼlimi, ijtimoiy foydali mehnatga tayyorgarligi toʻgʻrisida gʻamxoʻrlik qilmaganligida namoyon boʻladi. Ota-onalik huquqini suiisteʼmol qilish deganda – bu huquqlardan bolalarning manfaatlariga zid ravishda foydalanishni, masalan, oʻqishiga, jamoat topshiriqlarini bajarishiga toʻsqinlik qilishni, tilanchilikka undashni, uni spirtli ichimliklar va narkotik moddalar isteʼmol qilishga oʻrgatish, jinoyat qilishda, jinoiy yoʻl bilan daromad topishda voyaga yetmaganni jalb qilishni tushunmoq kerak. Bolalar bilan shafqatsiz muomalada boʻlish jismoniy va ruhiy qiynashda, tarbiyalashning yoʻl qoʻyib boʻlmaydigan usullarini qoʻllashda, bolalarining insoniy gʻururlarini kamsitishda va hokazolarda ifodalanishi mumkin. Agar bolalarga nisbatan ota-ona emas, balki oila aʼzolari shafqatsiz muomalada boʻlsalar, bolaning ota va onasi bunga qarshilik qilmasalar, bunday ota-onalarning ota-onalik huquqlari Oila kodeksining 83-moddasiga muvofiq cheklanishi mumkin.</w:t>
      </w:r>
    </w:p>
    <w:p>
      <w:pPr>
        <w:jc w:val="both"/>
        <w:ind w:firstLine="709"/>
        <w:spacing w:after="0"/>
        <w:rPr>
          <w:sz w:val="24"/>
          <w:rFonts w:ascii="Times New Roman" w:hAnsi="Times New Roman"/>
        </w:rPr>
      </w:pPr>
      <w:r>
        <w:rPr>
          <w:sz w:val="24"/>
          <w:rFonts w:ascii="Times New Roman" w:hAnsi="Times New Roman"/>
        </w:rPr>
        <w:t xml:space="preserve">Ota-onaning surunkali ichkilikbozlikka yoki giyohvandlik kasaliga uchraganligi tegishli tibbiyot xulosasi bilan tasdiqlangan boʻlishi kerak. Bunday asos bilan ota-onalik huquqidan mahrum qilish javobgarni muomalaga layoqati cheklangan deb tanilganligidan qatʼi nazar, amalga oshirilishi mumkin. Bolaning hayoti va sogʻligʻiga qarshi ota-ona tomonidan qasddan jinoyat sodir qilish oʻta ogʻir va jamoat uchun xavfli hisoblanadi. Bunday asoslarga koʻra ota (ona)ni ota-onalik huquqidan mahrum qilishga faqat sudning hukmi boʻlgandagina yoʻl qoʻyiladi.</w:t>
      </w:r>
    </w:p>
    <w:p>
      <w:pPr>
        <w:jc w:val="both"/>
        <w:ind w:firstLine="709"/>
        <w:spacing w:after="0"/>
        <w:rPr>
          <w:sz w:val="24"/>
          <w:rFonts w:ascii="Times New Roman" w:hAnsi="Times New Roman"/>
        </w:rPr>
      </w:pPr>
      <w:r>
        <w:rPr>
          <w:sz w:val="24"/>
          <w:rFonts w:ascii="Times New Roman" w:hAnsi="Times New Roman"/>
        </w:rPr>
        <w:t xml:space="preserve">Bolani ota (ona)sining hayoti va sogʻligʻiga qarshi ota (ona)si tomonidan qasddan jinoyat sodir qilganligi asosiga koʻra ota-onalik huquqidan mahrum qilishlik haqidagi ishlarni koʻrishda bola jinoyat obyekti uning ota (ona)si boʻlgan hollarda zarar koʻrishini hisobga olishlari lozim. Bunday asoslarga koʻra ota-onalik huquqidan mahrum qilishlikka ham aybdorga nisbatan sudning hukmi boʻlishi lozim.</w:t>
      </w:r>
    </w:p>
    <w:p>
      <w:pPr>
        <w:pStyle w:val="ConsPlusNonformat"/>
        <w:jc w:val="both"/>
        <w:ind w:firstLine="709"/>
        <w:rPr>
          <w:sz w:val="24"/>
          <w:rFonts w:ascii="Times New Roman" w:hAnsi="Times New Roman"/>
        </w:rPr>
      </w:pPr>
      <w:r>
        <w:rPr>
          <w:sz w:val="24"/>
          <w:rFonts w:ascii="Times New Roman" w:hAnsi="Times New Roman"/>
        </w:rPr>
        <w:t xml:space="preserve">Yuqoridagilarga koʻra, Oʻzbekiston Respublikasi Oila Kodeksining 79-moddasiga, Fuqarolik protsessual kodeksining 188, 189-191-moddalariga asosan</w:t>
      </w:r>
    </w:p>
    <w:p>
      <w:pPr>
        <w:pStyle w:val="ConsPlusNonformat"/>
        <w:jc w:val="center"/>
        <w:rPr>
          <w:sz w:val="24"/>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SOʻRAYMAN:</w:t>
      </w:r>
    </w:p>
    <w:p>
      <w:pPr>
        <w:pStyle w:val="ConsPlusNonformat"/>
        <w:jc w:val="center"/>
        <w:rPr>
          <w:sz w:val="24"/>
          <w:rFonts w:ascii="Times New Roman" w:hAnsi="Times New Roman"/>
        </w:rPr>
      </w:pPr>
    </w:p>
    <w:p>
      <w:pPr>
        <w:pStyle w:val="ConsPlusNonformat"/>
        <w:jc w:val="both"/>
        <w:ind w:firstLine="709"/>
        <w:rPr>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ni </w:t>
      </w:r>
      <w:r>
        <w:rPr>
          <w:vanish w:val="false"/>
          <w:sz w:val="24"/>
          <w:rFonts w:ascii="Times New Roman" w:hAnsi="Times New Roman"/>
        </w:rPr>
        <w:fldChar w:fldCharType="begin"/>
        <w:instrText xml:space="preserve">X {"Y":18}</w:instrText>
        <w:fldChar w:fldCharType="separate"/>
        <w:t xml:space="preserve">Tomonlarning farzandi tug‘ilgan sana</w:t>
      </w:r>
      <w:r>
        <w:rPr>
          <w:vanish w:val="false"/>
          <w:sz w:val="24"/>
          <w:rFonts w:ascii="Times New Roman" w:hAnsi="Times New Roman"/>
        </w:rPr>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{"Y":19}</w:instrText>
        <w:fldChar w:fldCharType="separate"/>
        <w:t xml:space="preserve">Tomonlarnig farzandini F.I.O.si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ismli farzandimga nisbatan </w:t>
      </w:r>
      <w:r>
        <w:rPr>
          <w:vanish w:val="false"/>
          <w:sz w:val="24"/>
          <w:rFonts w:ascii="Times New Roman" w:hAnsi="Times New Roman"/>
        </w:rPr>
        <w:fldChar w:fldCharType="begin"/>
        <w:instrText xml:space="preserve">X {"Y":25}</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huquqidan mahrum qilishni.</w:t>
      </w:r>
    </w:p>
    <w:p>
      <w:pPr>
        <w:pStyle w:val="ConsPlusNonformat"/>
        <w:jc w:val="center"/>
        <w:rPr>
          <w:sz w:val="24"/>
          <w:rFonts w:ascii="Times New Roman" w:hAnsi="Times New Roman"/>
        </w:rPr>
      </w:pPr>
    </w:p>
    <w:p>
      <w:pPr>
        <w:pStyle w:val="ConsPlusNonformat"/>
        <w:jc w:val="both"/>
        <w:ind w:firstLine="709"/>
        <w:rPr>
          <w:sz w:val="24"/>
          <w:rFonts w:ascii="Times New Roman" w:hAnsi="Times New Roman"/>
        </w:rPr>
      </w:pPr>
      <w:r>
        <w:rPr>
          <w:b/>
          <w:sz w:val="24"/>
          <w:rFonts w:ascii="Times New Roman" w:hAnsi="Times New Roman"/>
        </w:rPr>
        <w:t xml:space="preserve">Ilova qilinayotgan hujjatlar:</w:t>
      </w:r>
    </w:p>
    <w:p>
      <w:pPr>
        <w:pStyle w:val="ConsPlusNonformat"/>
        <w:jc w:val="both"/>
        <w:ind w:firstLine="709"/>
        <w:rPr>
          <w:sz w:val="24"/>
          <w:rFonts w:ascii="Times New Roman" w:hAnsi="Times New Roman"/>
        </w:rPr>
      </w:pPr>
      <w:r>
        <w:rPr>
          <w:sz w:val="24"/>
          <w:rFonts w:ascii="Times New Roman" w:hAnsi="Times New Roman"/>
        </w:rPr>
        <w:t xml:space="preserve">1. Daʼvo ariza nusxasi;</w:t>
      </w:r>
    </w:p>
    <w:p>
      <w:pPr>
        <w:pStyle w:val="ConsPlusNonformat"/>
        <w:jc w:val="both"/>
        <w:ind w:firstLine="709"/>
        <w:rPr>
          <w:sz w:val="24"/>
          <w:rFonts w:ascii="Times New Roman" w:hAnsi="Times New Roman"/>
        </w:rPr>
      </w:pPr>
      <w:r>
        <w:rPr>
          <w:sz w:val="24"/>
          <w:rFonts w:ascii="Times New Roman" w:hAnsi="Times New Roman"/>
        </w:rPr>
        <w:t xml:space="preserve">2. Davlat boji toʻlanganligini tasdiqlovchi xujjat;</w:t>
      </w:r>
    </w:p>
    <w:p>
      <w:pPr>
        <w:pStyle w:val="ConsPlusNonformat"/>
        <w:jc w:val="both"/>
        <w:ind w:firstLine="709"/>
        <w:tabs>
          <w:tab w:val="left" w:pos="993"/>
        </w:tabs>
        <w:rPr>
          <w:sz w:val="24"/>
          <w:rFonts w:ascii="Times New Roman" w:hAnsi="Times New Roman"/>
        </w:rPr>
      </w:pPr>
      <w:r>
        <w:rPr>
          <w:sz w:val="24"/>
          <w:rFonts w:ascii="Times New Roman" w:hAnsi="Times New Roman"/>
        </w:rPr>
        <w:t xml:space="preserve">3. Ota (ona)lik huquqidan mahrum qilish uchun asos boʻluvchi holatlarni tasdiqlovchi hujjatlar;</w:t>
      </w:r>
    </w:p>
    <w:p>
      <w:pPr>
        <w:pStyle w:val="ConsPlusNonformat"/>
        <w:jc w:val="both"/>
        <w:ind w:firstLine="709"/>
        <w:rPr>
          <w:sz w:val="24"/>
          <w:rFonts w:ascii="Times New Roman" w:hAnsi="Times New Roman"/>
        </w:rPr>
      </w:pPr>
      <w:r>
        <w:rPr>
          <w:sz w:val="24"/>
          <w:rFonts w:ascii="Times New Roman" w:hAnsi="Times New Roman"/>
        </w:rPr>
        <w:t xml:space="preserve">4. Tugʻilganlik haqida guvohnoma nusxasi</w:t>
      </w:r>
    </w:p>
    <w:p>
      <w:pPr>
        <w:pStyle w:val="ConsPlusNonformat"/>
        <w:jc w:val="both"/>
        <w:ind w:firstLine="709"/>
        <w:rPr>
          <w:sz w:val="24"/>
          <w:rFonts w:ascii="Times New Roman" w:hAnsi="Times New Roman"/>
        </w:rPr>
      </w:pP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Daʼvo arizaga ilova qilinayotgan hujjatlar ro‘yxati</w:t>
        <w:fldChar w:fldCharType="end"/>
      </w:r>
    </w:p>
    <w:p>
      <w:pPr>
        <w:pStyle w:val="ConsPlusNonformat"/>
        <w:jc w:val="both"/>
        <w:ind w:firstLine="709"/>
        <w:tabs>
          <w:tab w:val="left" w:pos="993"/>
        </w:tabs>
        <w:rPr>
          <w:sz w:val="24"/>
          <w:rFonts w:ascii="Times New Roman" w:hAnsi="Times New Roman"/>
        </w:rPr>
      </w:pPr>
    </w:p>
    <w:p>
      <w:pPr>
        <w:pStyle w:val="ConsPlusNonformat"/>
        <w:jc w:val="center"/>
        <w:rPr>
          <w:sz w:val="24"/>
          <w:rFonts w:ascii="Times New Roman" w:hAnsi="Times New Roman"/>
        </w:rPr>
      </w:pPr>
    </w:p>
    <w:tbl>
      <w:tblPr>
        <w:tblW w:w="0" w:type="auto"/>
      </w:tblPr>
      <w:tblGrid>
        <w:gridCol w:w="4661"/>
        <w:gridCol w:w="4694"/>
      </w:tblGrid>
      <w:tr>
        <w:tc>
          <w:tcPr>
            <w:tcW w:w="4785" w:type="dxa"/>
            <w:shd w:fill="auto"/>
          </w:tcPr>
          <w:p>
            <w:pPr>
              <w:spacing w:after="0" w:line="240" w:lineRule="auto"/>
              <w:tabs>
                <w:tab w:val="left" w:pos="0"/>
                <w:tab w:val="left" w:pos="264"/>
              </w:tabs>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__________________</w:t>
            </w:r>
          </w:p>
          <w:p>
            <w:pPr>
              <w:jc w:val="center"/>
              <w:spacing w:after="0" w:line="240" w:lineRule="auto"/>
              <w:rPr>
                <w:sz w:val="24"/>
                <w:rFonts w:ascii="Times New Roman" w:hAnsi="Times New Roman"/>
              </w:rPr>
            </w:pPr>
            <w:r>
              <w:rPr>
                <w:sz w:val="24"/>
                <w:rFonts w:ascii="Times New Roman" w:hAnsi="Times New Roman"/>
              </w:rPr>
              <w:t>(imzo)</w:t>
            </w:r>
          </w:p>
        </w:tc>
      </w:tr>
      <w:tr>
        <w:tc>
          <w:tcPr>
            <w:tcW w:w="9571" w:type="dxa"/>
            <w:gridSpan w:val="2"/>
            <w:shd w:fill="auto"/>
          </w:tcPr>
          <w:p>
            <w:pPr>
              <w:jc w:val="center"/>
              <w:spacing w:after="0" w:line="240" w:lineRule="auto"/>
              <w:rPr>
                <w:sz w:val="24"/>
                <w:rFonts w:ascii="Times New Roman" w:hAnsi="Times New Roman"/>
              </w:rPr>
            </w:pPr>
          </w:p>
          <w:p>
            <w:pPr>
              <w:jc w:val="right"/>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Fonts w:ascii="Times New Roman" w:hAnsi="Times New Roman"/>
              </w:rPr>
              <w:t xml:space="preserve"> </w:t>
            </w:r>
          </w:p>
          <w:p>
            <w:pPr>
              <w:jc w:val="center"/>
              <w:ind w:firstLine="851"/>
              <w:spacing w:after="0" w:line="240" w:lineRule="auto"/>
              <w:rPr>
                <w:sz w:val="24"/>
                <w:rFonts w:ascii="Times New Roman" w:hAnsi="Times New Roman"/>
              </w:rPr>
            </w:pPr>
          </w:p>
        </w:tc>
      </w:tr>
    </w:tbl>
    <w:p>
      <w:pPr>
        <w:pStyle w:val="ConsPlusNonformat"/>
        <w:jc w:val="center"/>
        <w:rPr>
          <w:sz w:val="24"/>
          <w:rFonts w:ascii="Times New Roman" w:hAnsi="Times New Roman"/>
        </w:rPr>
      </w:pPr>
    </w:p>
    <w:sectPr>
      <w:pgSz w:w="11906" w:h="16838"/>
      <w:pgMar w:left="1701" w:right="850" w:top="709" w:bottom="284" w:header="708" w:footer="20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FDE" w:rsidRDefault="00B35FDE">
      <w:r>
        <w:separator/>
      </w:r>
    </w:p>
  </w:endnote>
  <w:endnote w:type="continuationSeparator" w:id="0">
    <w:p w:rsidR="00B35FDE" w:rsidRDefault="00B3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FDE" w:rsidRDefault="00B35FDE">
      <w:r>
        <w:separator/>
      </w:r>
    </w:p>
  </w:footnote>
  <w:footnote w:type="continuationSeparator" w:id="0">
    <w:p w:rsidR="00B35FDE" w:rsidRDefault="00B35F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04689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94AC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F0CE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9097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2686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9A27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AEB4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848D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583C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43C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C0725B"/>
    <w:multiLevelType w:val="hybridMultilevel"/>
    <w:tmpl w:val="9F6A0F26"/>
    <w:lvl w:ilvl="0" w:tplc="849AAA1E">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14439"/>
    <w:rsid w:val="00042A12"/>
    <w:rsid w:val="000663E3"/>
    <w:rsid w:val="00080DE0"/>
    <w:rsid w:val="000843E7"/>
    <w:rsid w:val="000B4695"/>
    <w:rsid w:val="00117F81"/>
    <w:rsid w:val="0012653D"/>
    <w:rsid w:val="00137FAF"/>
    <w:rsid w:val="00166E46"/>
    <w:rsid w:val="00184354"/>
    <w:rsid w:val="00184E7C"/>
    <w:rsid w:val="00184F08"/>
    <w:rsid w:val="00187BDF"/>
    <w:rsid w:val="001A5841"/>
    <w:rsid w:val="001B13C8"/>
    <w:rsid w:val="00203846"/>
    <w:rsid w:val="00205E63"/>
    <w:rsid w:val="00221DA1"/>
    <w:rsid w:val="00230E31"/>
    <w:rsid w:val="00235B3D"/>
    <w:rsid w:val="00261CC6"/>
    <w:rsid w:val="002620E9"/>
    <w:rsid w:val="00267F0E"/>
    <w:rsid w:val="00296A44"/>
    <w:rsid w:val="00297F23"/>
    <w:rsid w:val="00312F66"/>
    <w:rsid w:val="00333B85"/>
    <w:rsid w:val="00357C0F"/>
    <w:rsid w:val="0036184B"/>
    <w:rsid w:val="003705D0"/>
    <w:rsid w:val="00391B6F"/>
    <w:rsid w:val="003A7979"/>
    <w:rsid w:val="003B5F19"/>
    <w:rsid w:val="003D1AAE"/>
    <w:rsid w:val="003D791C"/>
    <w:rsid w:val="003E61C0"/>
    <w:rsid w:val="004043F3"/>
    <w:rsid w:val="00422CE7"/>
    <w:rsid w:val="00431D54"/>
    <w:rsid w:val="00433771"/>
    <w:rsid w:val="004F7EFB"/>
    <w:rsid w:val="0051557E"/>
    <w:rsid w:val="00532436"/>
    <w:rsid w:val="00562E26"/>
    <w:rsid w:val="00575E55"/>
    <w:rsid w:val="00583A7D"/>
    <w:rsid w:val="005A3885"/>
    <w:rsid w:val="005C31CA"/>
    <w:rsid w:val="005C6C10"/>
    <w:rsid w:val="005D1CA9"/>
    <w:rsid w:val="005D4CFD"/>
    <w:rsid w:val="00610C32"/>
    <w:rsid w:val="00637E47"/>
    <w:rsid w:val="0065513D"/>
    <w:rsid w:val="006C193B"/>
    <w:rsid w:val="006C3BF5"/>
    <w:rsid w:val="006D55B1"/>
    <w:rsid w:val="006E7512"/>
    <w:rsid w:val="006F7FFE"/>
    <w:rsid w:val="0070336D"/>
    <w:rsid w:val="00733DC8"/>
    <w:rsid w:val="00754DE8"/>
    <w:rsid w:val="00755C31"/>
    <w:rsid w:val="00774C86"/>
    <w:rsid w:val="00796019"/>
    <w:rsid w:val="007C2F0C"/>
    <w:rsid w:val="007E25D3"/>
    <w:rsid w:val="008120D2"/>
    <w:rsid w:val="0084495C"/>
    <w:rsid w:val="00844F31"/>
    <w:rsid w:val="008A5DA7"/>
    <w:rsid w:val="008C186B"/>
    <w:rsid w:val="008C1C4E"/>
    <w:rsid w:val="008D48BC"/>
    <w:rsid w:val="0093134E"/>
    <w:rsid w:val="00940E8A"/>
    <w:rsid w:val="0095640D"/>
    <w:rsid w:val="00964462"/>
    <w:rsid w:val="009654E4"/>
    <w:rsid w:val="00983688"/>
    <w:rsid w:val="00995BC2"/>
    <w:rsid w:val="009B46C4"/>
    <w:rsid w:val="009C5CD4"/>
    <w:rsid w:val="009E6981"/>
    <w:rsid w:val="00A36FC2"/>
    <w:rsid w:val="00A460F5"/>
    <w:rsid w:val="00A5041C"/>
    <w:rsid w:val="00A53682"/>
    <w:rsid w:val="00A95358"/>
    <w:rsid w:val="00AD7E23"/>
    <w:rsid w:val="00AF3467"/>
    <w:rsid w:val="00B11BD5"/>
    <w:rsid w:val="00B35FDE"/>
    <w:rsid w:val="00B813FC"/>
    <w:rsid w:val="00B81E27"/>
    <w:rsid w:val="00BA2D23"/>
    <w:rsid w:val="00BE7B56"/>
    <w:rsid w:val="00C67338"/>
    <w:rsid w:val="00C97A8B"/>
    <w:rsid w:val="00CA6191"/>
    <w:rsid w:val="00CB5A9A"/>
    <w:rsid w:val="00D0122C"/>
    <w:rsid w:val="00D3224D"/>
    <w:rsid w:val="00D70EEC"/>
    <w:rsid w:val="00D721AE"/>
    <w:rsid w:val="00D8066F"/>
    <w:rsid w:val="00D84789"/>
    <w:rsid w:val="00D87E91"/>
    <w:rsid w:val="00DA6078"/>
    <w:rsid w:val="00DA735B"/>
    <w:rsid w:val="00DB31D8"/>
    <w:rsid w:val="00DD1389"/>
    <w:rsid w:val="00DF0878"/>
    <w:rsid w:val="00DF19FC"/>
    <w:rsid w:val="00DF546E"/>
    <w:rsid w:val="00E037C6"/>
    <w:rsid w:val="00E0405F"/>
    <w:rsid w:val="00E12325"/>
    <w:rsid w:val="00E219FC"/>
    <w:rsid w:val="00E23F31"/>
    <w:rsid w:val="00E243EB"/>
    <w:rsid w:val="00E25E7E"/>
    <w:rsid w:val="00E35F9F"/>
    <w:rsid w:val="00E63158"/>
    <w:rsid w:val="00E7680A"/>
    <w:rsid w:val="00EB6DB0"/>
    <w:rsid w:val="00EC2006"/>
    <w:rsid w:val="00ED23EB"/>
    <w:rsid w:val="00EF76B0"/>
    <w:rsid w:val="00F17795"/>
    <w:rsid w:val="00F17A15"/>
    <w:rsid w:val="00F40673"/>
    <w:rsid w:val="00F7008C"/>
    <w:rsid w:val="00F85C98"/>
    <w:rsid w:val="00FA0A5A"/>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DE520-FA40-4953-B2EA-ABF4EB6A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2044">
      <w:bodyDiv w:val="1"/>
      <w:marLeft w:val="0"/>
      <w:marRight w:val="0"/>
      <w:marTop w:val="0"/>
      <w:marBottom w:val="0"/>
      <w:divBdr>
        <w:top w:val="none" w:sz="0" w:space="0" w:color="auto"/>
        <w:left w:val="none" w:sz="0" w:space="0" w:color="auto"/>
        <w:bottom w:val="none" w:sz="0" w:space="0" w:color="auto"/>
        <w:right w:val="none" w:sz="0" w:space="0" w:color="auto"/>
      </w:divBdr>
    </w:div>
    <w:div w:id="719939221">
      <w:bodyDiv w:val="1"/>
      <w:marLeft w:val="0"/>
      <w:marRight w:val="0"/>
      <w:marTop w:val="0"/>
      <w:marBottom w:val="0"/>
      <w:divBdr>
        <w:top w:val="none" w:sz="0" w:space="0" w:color="auto"/>
        <w:left w:val="none" w:sz="0" w:space="0" w:color="auto"/>
        <w:bottom w:val="none" w:sz="0" w:space="0" w:color="auto"/>
        <w:right w:val="none" w:sz="0" w:space="0" w:color="auto"/>
      </w:divBdr>
    </w:div>
    <w:div w:id="1001784807">
      <w:bodyDiv w:val="1"/>
      <w:marLeft w:val="0"/>
      <w:marRight w:val="0"/>
      <w:marTop w:val="0"/>
      <w:marBottom w:val="0"/>
      <w:divBdr>
        <w:top w:val="none" w:sz="0" w:space="0" w:color="auto"/>
        <w:left w:val="none" w:sz="0" w:space="0" w:color="auto"/>
        <w:bottom w:val="none" w:sz="0" w:space="0" w:color="auto"/>
        <w:right w:val="none" w:sz="0" w:space="0" w:color="auto"/>
      </w:divBdr>
    </w:div>
    <w:div w:id="1509833864">
      <w:bodyDiv w:val="1"/>
      <w:marLeft w:val="0"/>
      <w:marRight w:val="0"/>
      <w:marTop w:val="0"/>
      <w:marBottom w:val="0"/>
      <w:divBdr>
        <w:top w:val="none" w:sz="0" w:space="0" w:color="auto"/>
        <w:left w:val="none" w:sz="0" w:space="0" w:color="auto"/>
        <w:bottom w:val="none" w:sz="0" w:space="0" w:color="auto"/>
        <w:right w:val="none" w:sz="0" w:space="0" w:color="auto"/>
      </w:divBdr>
    </w:div>
    <w:div w:id="19042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1014</Words>
  <Characters>5784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2</cp:revision>
  <cp:lastPrinted>2018-08-29T07:19:00Z</cp:lastPrinted>
  <dcterms:created xsi:type="dcterms:W3CDTF">2022-09-12T10:06:00Z</dcterms:created>
  <dcterms:modified xsi:type="dcterms:W3CDTF">2022-09-12T10:06:00Z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3" w:column="court_name" w:search="false"/>
    </w:value>
  </w:element>
  <w:element w:id="3" w:kind="variable" w:selector="check" w:type="date" w:valueMode="normal" w:required="false" w:groupID="1">
    <w:identifier xml:space="preserve">ID3</w:identifier>
    <w:name xml:space="preserve">Daʼvo ariza berilgan sana</w:name>
    <w:comment xml:space="preserv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Viloyat, tuman (shahar), mahalla, ko‘cha nomi va uy raqami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Izoh: Viloyat, tuman (shahar), mahalla, ko‘cha nomi va uy raqami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 to‘g‘risida maʼlumotlar</w:name>
    <w:value w:hidden="true">
      <w:unit w:active="false"/>
    </w:value>
  </w:element>
  <w:element w:id="25" w:kind="variable" w:selector="check" w:type="string" w:valueMode="normal" w:required="false" w:groupID="14">
    <w:identifier xml:space="preserve">ID25</w:identifier>
    <w:name xml:space="preserve">Daʼvo ariza mazmuni</w:name>
    <w:comment xml:space="preserve">Izoh: Otalik huquqidan yoki onalik huquqidan mahrum qilish so‘ralishi yoziladi</w:comment>
    <w:value w:hidden="false">
      <w:unit w:active="false"/>
    </w:value>
  </w:element>
  <w:element w:id="15" w:kind="variable" w:selector="check" w:type="string" w:valueMode="normal" w:required="false" w:groupID="14">
    <w:identifier xml:space="preserve">ID15</w:identifier>
    <w:name xml:space="preserve">Daʼvogar va javobgar qonuniy nikohdan o‘tgan FHDYO bo‘limi</w:name>
    <w:value w:hidden="false">
      <w:unit w:active="false"/>
    </w:value>
  </w:element>
  <w:element w:id="16" w:kind="variable" w:selector="check" w:type="date" w:valueMode="normal" w:required="false" w:groupID="14">
    <w:identifier xml:space="preserve">ID16</w:identifier>
    <w:name xml:space="preserve">Daʼvogar va javobgar o‘rtasida qonuniy nikoh qayd etilgan sana</w:name>
    <w:value w:hidden="false">
      <w:unit w:active="false"/>
    </w:value>
  </w:element>
  <w:element w:id="17" w:kind="variable" w:selector="check" w:type="string" w:valueMode="normal" w:required="false" w:groupID="14">
    <w:identifier xml:space="preserve">ID17</w:identifier>
    <w:name xml:space="preserve">Nikoh guvohnomasining dalolatnoma yozuvi raqami</w:name>
    <w:value w:hidden="false">
      <w:unit w:active="false"/>
    </w:value>
  </w:element>
  <w:element w:id="18" w:kind="variable" w:selector="check" w:type="date" w:valueMode="normal" w:required="false" w:groupID="14">
    <w:identifier xml:space="preserve">ID18</w:identifier>
    <w:name xml:space="preserve">Tomonlarning farzandi tug‘ilgan sana</w:name>
    <w:value w:hidden="false">
      <w:unit w:active="false"/>
    </w:value>
  </w:element>
  <w:element w:id="19" w:kind="variable" w:selector="check" w:type="string" w:valueMode="normal" w:required="false" w:groupID="14">
    <w:identifier xml:space="preserve">ID19</w:identifier>
    <w:name xml:space="preserve">Tomonlarnig farzandini F.I.O.si</w:name>
    <w:value w:hidden="false">
      <w:unit w:active="false"/>
    </w:value>
  </w:element>
  <w:element w:id="20" w:kind="variable" w:selector="check" w:type="string" w:valueMode="normal" w:required="false" w:groupID="14">
    <w:identifier xml:space="preserve">ID20</w:identifier>
    <w:name xml:space="preserve">Tomonlarnig farzandiga tug‘ilganlik to‘g‘risida guvohnoma seriyasi</w:name>
    <w:value w:hidden="false">
      <w:unit w:active="false"/>
    </w:value>
  </w:element>
  <w:element w:id="23" w:kind="variable" w:selector="check" w:type="string" w:valueMode="normal" w:required="false" w:groupID="14">
    <w:identifier xml:space="preserve">ID23</w:identifier>
    <w:name xml:space="preserve">Tomonlarnig farzandiga tug‘ilganlik to‘g‘risida guvohnoma raqami</w:name>
    <w:value w:hidden="false">
      <w:unit w:active="false"/>
    </w:value>
  </w:element>
  <w:element w:id="21" w:kind="variable" w:selector="check" w:type="string" w:valueMode="normal" w:required="false" w:groupID="14">
    <w:identifier xml:space="preserve">ID21</w:identifier>
    <w:name xml:space="preserve">Tug‘ilganlik to‘g‘risidagi guvohnomani bergan FHDYO bo‘limi nomi</w:name>
    <w:value w:hidden="false">
      <w:unit w:active="false"/>
    </w:value>
  </w:element>
  <w:element w:id="22" w:kind="variable" w:selector="check" w:type="string" w:valueMode="normal" w:required="false" w:groupID="14">
    <w:identifier xml:space="preserve">ID22</w:identifier>
    <w:name xml:space="preserve">Ota-onalik huquqidan mahrum qilish uchun asos sifatida keltirilayotgan holatlar</w:name>
    <w:comment xml:space="preserve">Izoh: Ota-onalik huquqidan mahrum qilishga asos bo‘ladigan holatlar: Ota-onalik majburiyatlarini bajarishdan bosh tortish, shu jumladan aliment to‘lashdan bo‘yin tovlash; uzrsiz sabablarga ko‘ra o‘z bolasini tug‘ruqxona yoki boshqa davolash muassasasidan, tarbiya, aholini ijtimoiy himoyalash muassasasi va shunga o‘xshash boshqa muassasalardan olishdan bosh tortish; ota-onalik huquqini suiisteʼmol qilish, bolalarga nisbatan shafqatsiz muomalada bo‘lish, jumladan jismoniy kuch ishlatish yoki ruhiy taʼsir ko‘rsatish; muttasil ichkilikbozlik yoki giyovandlikka mubtalo bo‘lish; o‘z bolalarining hayoti yoki sog‘lig‘iga yoxud eri (xotini)ning hayoti yoki sog‘lig‘iga qarshi qasddan jinoyat sodir qilish.</w:comment>
    <w:value w:hidden="false">
      <w:unit w:active="false"/>
    </w:value>
  </w:element>
  <w:element w:id="26" w:kind="variable" w:selector="check" w:type="string" w:valueMode="normal" w:required="false" w:groupID="14">
    <w:identifier xml:space="preserve">ID26</w:identifier>
    <w:name xml:space="preserve">Daʼvo arizaga ilova qilinayotgan hujjatlar ro‘yxati</w:name>
    <w:value w:hidden="false">
      <w:unit w:active="false"/>
    </w:value>
  </w:element>
</w:structure>
</file>