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2697"/>
        <w:gridCol w:w="3533"/>
      </w:tblGrid>
      <w:tr>
        <w:tc>
          <w:tcPr>
            <w:tcW w:w="3115" w:type="dxa"/>
          </w:tcPr>
          <w:p>
            <w:pPr>
              <w:jc w:val="both"/>
              <w:rPr>
                <w:sz w:val="28"/>
                <w:rFonts w:ascii="Times New Roman" w:hAnsi="Times New Roman"/>
              </w:rPr>
            </w:pPr>
          </w:p>
        </w:tc>
        <w:tc>
          <w:tcPr>
            <w:tcW w:w="2697" w:type="dxa"/>
          </w:tcPr>
          <w:p>
            <w:pPr>
              <w:jc w:val="both"/>
              <w:rPr>
                <w:sz w:val="28"/>
                <w:rFonts w:ascii="Times New Roman" w:hAnsi="Times New Roman"/>
              </w:rPr>
            </w:pPr>
          </w:p>
        </w:tc>
        <w:tc>
          <w:tcPr>
            <w:tcW w:w="3533" w:type="dxa"/>
          </w:tcPr>
          <w:p>
            <w:pPr>
              <w:jc w:val="both"/>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berilgan iqtisodiy sudning nomi</w:t>
              <w:fldChar w:fldCharType="end"/>
            </w:r>
          </w:p>
        </w:tc>
      </w:tr>
      <w:tr>
        <w:tc>
          <w:tcPr>
            <w:tcW w:w="3115" w:type="dxa"/>
          </w:tcPr>
          <w:p>
            <w:pPr>
              <w:jc w:val="both"/>
              <w:rPr>
                <w:sz w:val="28"/>
                <w:rFonts w:ascii="Times New Roman" w:hAnsi="Times New Roman"/>
              </w:rPr>
            </w:pPr>
          </w:p>
        </w:tc>
        <w:tc>
          <w:tcPr>
            <w:tcW w:w="2697" w:type="dxa"/>
          </w:tcPr>
          <w:p>
            <w:pPr>
              <w:jc w:val="both"/>
              <w:rPr>
                <w:sz w:val="28"/>
                <w:rFonts w:ascii="Times New Roman" w:hAnsi="Times New Roman"/>
              </w:rPr>
            </w:pPr>
          </w:p>
        </w:tc>
        <w:tc>
          <w:tcPr>
            <w:tcW w:w="3533" w:type="dxa"/>
          </w:tcPr>
          <w:p>
            <w:pPr>
              <w:jc w:val="both"/>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beruvchining manzili</w:t>
              <w:fldChar w:fldCharType="end"/>
            </w:r>
          </w:p>
        </w:tc>
      </w:tr>
      <w:tr>
        <w:tc>
          <w:tcPr>
            <w:tcW w:w="3115" w:type="dxa"/>
          </w:tcPr>
          <w:p>
            <w:pPr>
              <w:jc w:val="both"/>
              <w:rPr>
                <w:sz w:val="28"/>
                <w:rFonts w:ascii="Times New Roman" w:hAnsi="Times New Roman"/>
              </w:rPr>
            </w:pPr>
          </w:p>
        </w:tc>
        <w:tc>
          <w:tcPr>
            <w:tcW w:w="2697" w:type="dxa"/>
          </w:tcPr>
          <w:p>
            <w:pPr>
              <w:jc w:val="both"/>
              <w:rPr>
                <w:sz w:val="28"/>
                <w:rFonts w:ascii="Times New Roman" w:hAnsi="Times New Roman"/>
              </w:rPr>
            </w:pPr>
          </w:p>
        </w:tc>
        <w:tc>
          <w:tcPr>
            <w:tcW w:w="3533" w:type="dxa"/>
          </w:tcPr>
          <w:p>
            <w:pPr>
              <w:jc w:val="both"/>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nomi yoki yakka tartibdagi tadbirkor (YaTT)ning F.I.O.si</w:t>
              <w:fldChar w:fldCharType="end"/>
            </w:r>
          </w:p>
        </w:tc>
      </w:tr>
    </w:tbl>
    <w:p>
      <w:pPr>
        <w:rPr>
          <w:sz w:val="28"/>
          <w:rFonts w:ascii="Times New Roman" w:hAnsi="Times New Roman"/>
        </w:rPr>
      </w:pPr>
    </w:p>
    <w:p>
      <w:pPr>
        <w:rPr>
          <w:sz w:val="28"/>
          <w:rFonts w:ascii="Times New Roman" w:hAnsi="Times New Roman"/>
        </w:rPr>
      </w:pPr>
    </w:p>
    <w:p>
      <w:pPr>
        <w:jc w:val="center"/>
        <w:rPr>
          <w:b/>
          <w:sz w:val="28"/>
          <w:rFonts w:ascii="Times New Roman" w:hAnsi="Times New Roman"/>
        </w:rPr>
      </w:pPr>
      <w:r>
        <w:rPr>
          <w:b/>
          <w:sz w:val="28"/>
          <w:rFonts w:ascii="Times New Roman" w:hAnsi="Times New Roman"/>
        </w:rPr>
        <w:t>Ariza</w:t>
      </w:r>
    </w:p>
    <w:p>
      <w:pPr>
        <w:jc w:val="center"/>
        <w:rPr>
          <w:sz w:val="28"/>
          <w:rFonts w:ascii="Times New Roman" w:hAnsi="Times New Roman"/>
        </w:rPr>
      </w:pPr>
      <w:r>
        <w:rPr>
          <w:sz w:val="28"/>
          <w:rFonts w:ascii="Times New Roman" w:hAnsi="Times New Roman"/>
        </w:rPr>
        <w:t xml:space="preserve">(Qarzdorni to‘lovga layoqatsiz deb topish to‘g‘risidagi ariza)</w:t>
      </w:r>
    </w:p>
    <w:p>
      <w:pPr>
        <w:jc w:val="both"/>
        <w:ind w:firstLine="425"/>
        <w:rPr>
          <w:sz w:val="28"/>
          <w:rFonts w:ascii="Times New Roman" w:hAnsi="Times New Roman"/>
        </w:rPr>
      </w:pPr>
      <w:r>
        <w:rPr>
          <w:sz w:val="28"/>
          <w:rFonts w:ascii="Times New Roman" w:hAnsi="Times New Roman"/>
        </w:rPr>
        <w:t xml:space="preserve">Mening boshqaruvimdagi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Yuridik shaxs nomi uning tashkiliy huquqiy shakli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Yuridik shaxsning tashkil topgan vaqti</w:t>
        <w:fldChar w:fldCharType="end"/>
      </w:r>
      <w:r>
        <w:rPr>
          <w:sz w:val="28"/>
          <w:rFonts w:ascii="Times New Roman" w:hAnsi="Times New Roman"/>
        </w:rPr>
        <w:t xml:space="preserve"> yilda tashkil etilgan bo‘lib, soliqlarni o‘z vaqtida to‘lab kelinggan. Ammo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Soliq qarzdorligi boshlangan vaqt</w:t>
        <w:fldChar w:fldCharType="end"/>
      </w:r>
      <w:r>
        <w:rPr>
          <w:sz w:val="28"/>
          <w:rFonts w:ascii="Times New Roman" w:hAnsi="Times New Roman"/>
        </w:rPr>
        <w:t xml:space="preserve"> yildan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Yuridik shaxs nomi uning tashkiliy huquqiy shakli</w:t>
        <w:fldChar w:fldCharType="end"/>
      </w:r>
      <w:r>
        <w:rPr>
          <w:sz w:val="28"/>
          <w:rFonts w:ascii="Times New Roman" w:hAnsi="Times New Roman"/>
        </w:rPr>
        <w:t xml:space="preserve"> daromadlari pasaygani tufayli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Soliq qarzi miqdori</w:t>
        <w:fldChar w:fldCharType="end"/>
      </w:r>
      <w:r>
        <w:rPr>
          <w:sz w:val="28"/>
          <w:rFonts w:ascii="Times New Roman" w:hAnsi="Times New Roman"/>
        </w:rPr>
        <w:t xml:space="preserve"> miqdordagi soliq qarzlari vujudga kelmoqda.</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Iqtisodiy protsessual kodeksining 210-moddasiga ko‘ra, yuridik shaxslarning va fuqarolarning bankrotligi to‘g‘risidagi ishlar ushbu Iqtisodiy protsessual kodeksida nazarda tutilgan qoidalar bo‘yicha, qonunchilikda belgilangan xususiyatlarni e’tiborga olgan holda sud tomonidan ko‘rib chiqilishi belgilangan.</w:t>
      </w:r>
    </w:p>
    <w:p>
      <w:pPr>
        <w:jc w:val="both"/>
        <w:ind w:firstLine="425"/>
        <w:spacing w:after="0" w:line="288" w:lineRule="auto"/>
        <w:rPr>
          <w:sz w:val="28"/>
          <w:rFonts w:ascii="Times New Roman" w:hAnsi="Times New Roman"/>
        </w:rPr>
      </w:pPr>
      <w:r>
        <w:rPr>
          <w:sz w:val="28"/>
          <w:rFonts w:ascii="Times New Roman" w:hAnsi="Times New Roman"/>
        </w:rPr>
        <w:t xml:space="preserve">Iqtisodiy protsessual kodeksining 211-moddasida esa bankrotlik sohasidagi munosabatlarni tartibga soluvchi qonunga muvofiq qarzdor, kreditorlar va boshqa manfaatdor shaxslar qarzdorni bankrot deb topish to‘g‘risidagi ariza bilan sudga murojaat etishga haqli.</w:t>
      </w:r>
    </w:p>
    <w:p>
      <w:pPr>
        <w:jc w:val="both"/>
        <w:ind w:firstLine="425"/>
        <w:spacing w:after="0" w:line="288" w:lineRule="auto"/>
        <w:rPr>
          <w:sz w:val="28"/>
          <w:rFonts w:ascii="Times New Roman" w:hAnsi="Times New Roman"/>
        </w:rPr>
      </w:pPr>
      <w:r>
        <w:rPr>
          <w:sz w:val="28"/>
          <w:rFonts w:ascii="Times New Roman" w:hAnsi="Times New Roman"/>
        </w:rPr>
        <w:t xml:space="preserve">Arizaga bankrotlik sohasidagi munosabatlarni tartibga soluvchi qonunda nazarda tutilgan hujjatlar ilova qilinishi belgilangan.</w:t>
      </w:r>
    </w:p>
    <w:p>
      <w:pPr>
        <w:jc w:val="both"/>
        <w:ind w:firstLine="425"/>
        <w:spacing w:after="0" w:line="288" w:lineRule="auto"/>
        <w:rPr>
          <w:sz w:val="28"/>
          <w:rFonts w:ascii="Times New Roman" w:hAnsi="Times New Roman"/>
        </w:rPr>
      </w:pPr>
      <w:r>
        <w:rPr>
          <w:sz w:val="28"/>
          <w:rFonts w:ascii="Times New Roman" w:hAnsi="Times New Roman"/>
        </w:rPr>
        <w:t xml:space="preserve">Shuningdek, “To‘lovga qobiliyatsizlik to‘g‘risida”gi Qonunning 5-moddasida to‘lovga qobiliyatsizlik alomatlari ko‘rsatilga bo‘lib, bunga ko‘ra:</w:t>
      </w:r>
    </w:p>
    <w:p>
      <w:pPr>
        <w:jc w:val="both"/>
        <w:ind w:firstLine="425"/>
        <w:spacing w:after="0" w:line="288" w:lineRule="auto"/>
        <w:rPr>
          <w:sz w:val="28"/>
          <w:rFonts w:ascii="Times New Roman" w:hAnsi="Times New Roman"/>
        </w:rPr>
      </w:pPr>
      <w:r>
        <w:rPr>
          <w:sz w:val="28"/>
          <w:rFonts w:ascii="Times New Roman" w:hAnsi="Times New Roman"/>
        </w:rPr>
        <w:t xml:space="preserve">vaqtincha to‘lovga qobiliyatsizlik — agar tegishli majburiyatlar yuzaga kelgan sanadan e’tiboran uch oy ichida qarzdor tomonidan bajarilmagan bo‘lsa, shaharni tashkil etuvchi korxona hamda unga tenglashtirilgan korxonalar tomonidan esa olti oy ichida bajarilmasa, sudga murojaat etish sanasida qarzdorning pul majburiyatlari bo‘yicha kreditorlar talablarini qanoatlantirishga va (yoki) soliqlar hamda yig‘imlar bo‘yicha o‘z majburiyatlarini bajarishga qodir emasligi ko‘rsailib o‘tilgan.</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Iqtisodiy protsessual kodeksining 210, 211-moddalari hamda “To‘lovga qobiliyatsizlik to‘g‘risida”gi Qonunning 5-moddasiga asosan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Yuridik shaxs nomi uning tashkiliy huquqiy shakli</w:t>
        <w:fldChar w:fldCharType="end"/>
      </w:r>
      <w:r>
        <w:rPr>
          <w:sz w:val="28"/>
          <w:rFonts w:ascii="Times New Roman" w:hAnsi="Times New Roman"/>
        </w:rPr>
        <w:t xml:space="preserve">ni to‘lovga qobiliyatsiz deb topishingizni so‘rayman.</w:t>
      </w:r>
    </w:p>
    <w:p>
      <w:pPr>
        <w:jc w:val="both"/>
        <w:ind w:firstLine="425"/>
        <w:spacing w:after="0" w:line="288" w:lineRule="auto"/>
        <w:rPr>
          <w:sz w:val="28"/>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nomi yoki yakka tartibdagi tadbirkor (YaTT)ning F.I.O.si</w:t>
              <w:fldChar w:fldCharType="end"/>
            </w:r>
          </w:p>
        </w:tc>
        <w:tc>
          <w:tcPr>
            <w:tcW w:w="3115" w:type="dxa"/>
          </w:tcPr>
          <w:p>
            <w:pPr>
              <w:jc w:val="both"/>
              <w:spacing w:line="288" w:lineRule="auto"/>
              <w:rPr>
                <w:sz w:val="28"/>
                <w:rFonts w:ascii="Times New Roman" w:hAnsi="Times New Roman"/>
              </w:rPr>
            </w:pPr>
          </w:p>
        </w:tc>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yozilgan sana </w:t>
              <w:fldChar w:fldCharType="end"/>
            </w:r>
          </w:p>
        </w:tc>
      </w:tr>
    </w:tbl>
    <w:p>
      <w:pPr>
        <w:jc w:val="both"/>
        <w:ind w:firstLine="425"/>
        <w:spacing w:after="0" w:line="288"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C56"/>
    <w:rsid w:val="000A2036"/>
    <w:rsid w:val="000B0BE2"/>
    <w:rsid w:val="00160292"/>
    <w:rsid w:val="001B222B"/>
    <w:rsid w:val="00220E9F"/>
    <w:rsid w:val="00360E87"/>
    <w:rsid w:val="00374013"/>
    <w:rsid w:val="00613190"/>
    <w:rsid w:val="0061368E"/>
    <w:rsid w:val="006723A3"/>
    <w:rsid w:val="006D0BD8"/>
    <w:rsid w:val="00744C56"/>
    <w:rsid w:val="00790668"/>
    <w:rsid w:val="008F71D3"/>
    <w:rsid w:val="009140ED"/>
    <w:rsid w:val="00943F38"/>
    <w:rsid w:val="009E71A1"/>
    <w:rsid w:val="00A73B0C"/>
    <w:rsid w:val="00A873C7"/>
    <w:rsid w:val="00AE0220"/>
    <w:rsid w:val="00D037B2"/>
    <w:rsid w:val="00D67B54"/>
    <w:rsid w:val="00DE1DCC"/>
    <w:rsid w:val="00F81052"/>
    <w:rsid w:val="00F91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425F7-C706-4E44-BC46-94B62AC7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94076">
      <w:bodyDiv w:val="1"/>
      <w:marLeft w:val="0"/>
      <w:marRight w:val="0"/>
      <w:marTop w:val="0"/>
      <w:marBottom w:val="0"/>
      <w:divBdr>
        <w:top w:val="none" w:sz="0" w:space="0" w:color="auto"/>
        <w:left w:val="none" w:sz="0" w:space="0" w:color="auto"/>
        <w:bottom w:val="none" w:sz="0" w:space="0" w:color="auto"/>
        <w:right w:val="none" w:sz="0" w:space="0" w:color="auto"/>
      </w:divBdr>
      <w:divsChild>
        <w:div w:id="1432046315">
          <w:marLeft w:val="0"/>
          <w:marRight w:val="0"/>
          <w:marTop w:val="120"/>
          <w:marBottom w:val="120"/>
          <w:divBdr>
            <w:top w:val="none" w:sz="0" w:space="0" w:color="auto"/>
            <w:left w:val="none" w:sz="0" w:space="0" w:color="auto"/>
            <w:bottom w:val="none" w:sz="0" w:space="0" w:color="auto"/>
            <w:right w:val="none" w:sz="0" w:space="0" w:color="auto"/>
          </w:divBdr>
        </w:div>
        <w:div w:id="731733189">
          <w:marLeft w:val="0"/>
          <w:marRight w:val="0"/>
          <w:marTop w:val="0"/>
          <w:marBottom w:val="150"/>
          <w:divBdr>
            <w:top w:val="none" w:sz="0" w:space="0" w:color="auto"/>
            <w:left w:val="none" w:sz="0" w:space="0" w:color="auto"/>
            <w:bottom w:val="none" w:sz="0" w:space="0" w:color="auto"/>
            <w:right w:val="none" w:sz="0" w:space="0" w:color="auto"/>
          </w:divBdr>
        </w:div>
        <w:div w:id="122769923">
          <w:marLeft w:val="0"/>
          <w:marRight w:val="0"/>
          <w:marTop w:val="0"/>
          <w:marBottom w:val="150"/>
          <w:divBdr>
            <w:top w:val="none" w:sz="0" w:space="0" w:color="auto"/>
            <w:left w:val="none" w:sz="0" w:space="0" w:color="auto"/>
            <w:bottom w:val="none" w:sz="0" w:space="0" w:color="auto"/>
            <w:right w:val="none" w:sz="0" w:space="0" w:color="auto"/>
          </w:divBdr>
        </w:div>
        <w:div w:id="1819421629">
          <w:marLeft w:val="0"/>
          <w:marRight w:val="0"/>
          <w:marTop w:val="0"/>
          <w:marBottom w:val="150"/>
          <w:divBdr>
            <w:top w:val="none" w:sz="0" w:space="0" w:color="auto"/>
            <w:left w:val="none" w:sz="0" w:space="0" w:color="auto"/>
            <w:bottom w:val="none" w:sz="0" w:space="0" w:color="auto"/>
            <w:right w:val="none" w:sz="0" w:space="0" w:color="auto"/>
          </w:divBdr>
        </w:div>
      </w:divsChild>
    </w:div>
    <w:div w:id="1624572905">
      <w:bodyDiv w:val="1"/>
      <w:marLeft w:val="0"/>
      <w:marRight w:val="0"/>
      <w:marTop w:val="0"/>
      <w:marBottom w:val="0"/>
      <w:divBdr>
        <w:top w:val="none" w:sz="0" w:space="0" w:color="auto"/>
        <w:left w:val="none" w:sz="0" w:space="0" w:color="auto"/>
        <w:bottom w:val="none" w:sz="0" w:space="0" w:color="auto"/>
        <w:right w:val="none" w:sz="0" w:space="0" w:color="auto"/>
      </w:divBdr>
      <w:divsChild>
        <w:div w:id="1874926106">
          <w:marLeft w:val="0"/>
          <w:marRight w:val="0"/>
          <w:marTop w:val="0"/>
          <w:marBottom w:val="150"/>
          <w:divBdr>
            <w:top w:val="none" w:sz="0" w:space="0" w:color="auto"/>
            <w:left w:val="none" w:sz="0" w:space="0" w:color="auto"/>
            <w:bottom w:val="none" w:sz="0" w:space="0" w:color="auto"/>
            <w:right w:val="none" w:sz="0" w:space="0" w:color="auto"/>
          </w:divBdr>
        </w:div>
        <w:div w:id="156934654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2024-02-22T09:05:00Z</dcterms:created>
  <dcterms:modified xsi:type="dcterms:W3CDTF">2024-02-22T09:05:00Z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Ariza rekvizitlari</w:name>
    <w:value w:hidden="true">
      <w:unit w:active="false"/>
    </w:value>
  </w:element>
  <w:element w:id="3" w:kind="variable" w:selector="check" w:type="date" w:valueMode="normal" w:required="false" w:groupID="2">
    <w:identifier xml:space="preserve">ID3</w:identifier>
    <w:name xml:space="preserve">Ariza yozilgan sana </w:name>
    <w:comment xml:space="preserve">(календар)</w:comment>
    <w:value w:hidden="false">
      <w:unit w:active="false"/>
    </w:value>
  </w:element>
  <w:element w:id="4" w:kind="category" w:selector="check" w:type="string" w:valueMode="normal" w:required="false">
    <w:identifier xml:space="preserve">ID4</w:identifier>
    <w:name xml:space="preserve">Taraflar</w:name>
    <w:value w:hidden="true">
      <w:unit w:active="false"/>
    </w:value>
  </w:element>
  <w:element w:id="5" w:kind="variable" w:selector="check" w:type="string" w:valueMode="normal" w:required="false" w:groupID="4">
    <w:identifier xml:space="preserve">ID5</w:identifier>
    <w:name xml:space="preserve">Ariza berilgan iqtisodiy sudning nomi</w:name>
    <w:value w:hidden="false">
      <w:unit w:active="false"/>
    </w:value>
  </w:element>
  <w:element w:id="6" w:kind="variable" w:selector="check" w:type="string" w:valueMode="normal" w:required="false" w:groupID="4">
    <w:identifier xml:space="preserve">ID5</w:identifier>
    <w:name xml:space="preserve">Ariza beruvchining manzili</w:name>
    <w:value w:hidden="false">
      <w:unit w:active="false"/>
    </w:value>
  </w:element>
  <w:element w:id="7" w:kind="variable" w:selector="check" w:type="string" w:valueMode="normal" w:required="false" w:groupID="4">
    <w:identifier xml:space="preserve">ID6</w:identifier>
    <w:name xml:space="preserve">Ariza beruvchi yuridik shaxs nomi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Yuridik shaxs nomi uning tashkiliy huquqiy shakli</w:name>
    <w:value w:hidden="false">
      <w:unit w:active="false"/>
    </w:value>
  </w:element>
  <w:element w:id="10" w:kind="variable" w:selector="check" w:type="string" w:valueMode="normal" w:required="false" w:groupID="8">
    <w:identifier xml:space="preserve">ID9</w:identifier>
    <w:name xml:space="preserve">Yuridik shaxsning tashkil topgan vaqti</w:name>
    <w:value w:hidden="false">
      <w:unit w:active="false"/>
    </w:value>
  </w:element>
  <w:element w:id="11" w:kind="variable" w:selector="check" w:type="string" w:valueMode="normal" w:required="false" w:groupID="8">
    <w:identifier xml:space="preserve">ID10</w:identifier>
    <w:name xml:space="preserve">Soliq qarzi miqdori</w:name>
    <w:value w:hidden="false">
      <w:unit w:active="false"/>
    </w:value>
  </w:element>
  <w:element w:id="12" w:kind="variable" w:selector="check" w:type="string" w:valueMode="normal" w:required="false" w:groupID="8">
    <w:identifier xml:space="preserve">ID11</w:identifier>
    <w:name xml:space="preserve">Soliq qarzdorligi boshlangan vaqt</w:name>
    <w:value w:hidden="false">
      <w:unit w:active="false"/>
    </w:value>
  </w:element>
</w:structure>
</file>