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9"/>
        <w:gridCol w:w="4815"/>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Fuqarolik ishlar boʻyicha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fuqarolik sudi nomi</w:t>
              <w:fldChar w:fldCharType="end"/>
            </w:r>
            <w:r>
              <w:rPr>
                <w:b/>
                <w:sz w:val="28"/>
                <w:rFonts w:ascii="Times New Roman" w:hAnsi="Times New Roman"/>
              </w:rPr>
              <w:t xml:space="preserve"> sudiga</w:t>
            </w:r>
          </w:p>
          <w:p>
            <w:pPr>
              <w:jc w:val="both"/>
              <w:spacing w:after="0"/>
              <w:rPr>
                <w:b/>
                <w:sz w:val="28"/>
                <w:rFonts w:ascii="Times New Roman" w:hAnsi="Times New Roman"/>
              </w:rPr>
            </w:pP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shaxsning yashash manzili</w:t>
              <w:fldChar w:fldCharType="end"/>
            </w:r>
            <w:r>
              <w:rPr>
                <w:b/>
                <w:sz w:val="28"/>
                <w:rFonts w:ascii="Times New Roman" w:hAnsi="Times New Roman"/>
              </w:rPr>
              <w:t xml:space="preserve">da yashovchi</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dan</w:t>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I L T I M O S N O M A </w:t>
      </w:r>
    </w:p>
    <w:p>
      <w:pPr>
        <w:jc w:val="center"/>
        <w:spacing w:after="0"/>
        <w:rPr>
          <w:sz w:val="28"/>
          <w:rFonts w:ascii="Times New Roman" w:hAnsi="Times New Roman"/>
        </w:rPr>
      </w:pPr>
      <w:r>
        <w:rPr>
          <w:sz w:val="28"/>
          <w:rFonts w:ascii="Times New Roman" w:hAnsi="Times New Roman"/>
        </w:rPr>
        <w:t xml:space="preserve">Qayta (takroriy) ekspertiza tayinlash haqida</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Fuqarolik ishlar boʻyicha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Iltimosnoma berilgan fuqarolik sudi nomi</w:t>
        <w:fldChar w:fldCharType="end"/>
      </w:r>
      <w:r>
        <w:rPr>
          <w:sz w:val="28"/>
          <w:rFonts w:ascii="Times New Roman" w:hAnsi="Times New Roman"/>
        </w:rPr>
        <w:t xml:space="preserve"> sudi tomonidan daʼvogar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daʼvogarning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toʻgʻrisidagi daʼvo arizasi yuzasidan yuritilayotgan fuqarolik ishi koʻrib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boʻyicha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Ekspertiza tayinlangan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Tayinlangan ekspertiza turi</w:t>
        <w:fldChar w:fldCharType="end"/>
      </w:r>
      <w:r>
        <w:rPr>
          <w:sz w:val="28"/>
          <w:rFonts w:ascii="Times New Roman" w:hAnsi="Times New Roman"/>
        </w:rPr>
        <w:t xml:space="preserve"> ekspertizasi tayinlangan. Mazkur ekspertiza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Ekspertiza xulosasi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Ekspertiza xulosaning mazmuni</w:t>
        <w:fldChar w:fldCharType="end"/>
      </w:r>
      <w:r>
        <w:rPr>
          <w:sz w:val="28"/>
          <w:rFonts w:ascii="Times New Roman" w:hAnsi="Times New Roman"/>
        </w:rPr>
        <w:t xml:space="preserve"> toʻgʻrisida xulosa bergan. </w:t>
      </w:r>
    </w:p>
    <w:p>
      <w:pPr>
        <w:pStyle w:val="a4"/>
        <w:jc w:val="both"/>
        <w:ind w:firstLine="709"/>
        <w:spacing w:after="0"/>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Iltimosnoma beruvchi ekspertiza xulosasini asossiz deb hisoblashining sabablari</w:t>
        <w:fldChar w:fldCharType="end"/>
      </w:r>
      <w:r>
        <w:rPr>
          <w:sz w:val="28"/>
          <w:rFonts w:ascii="Times New Roman" w:hAnsi="Times New Roman"/>
        </w:rPr>
        <w:t xml:space="preserve"> sabablarga koʻra mazkur xulosani asossiz deb hisoblayman. </w:t>
      </w:r>
    </w:p>
    <w:p>
      <w:pPr>
        <w:pStyle w:val="a4"/>
        <w:jc w:val="both"/>
        <w:ind w:firstLine="709"/>
        <w:spacing w:after="0"/>
        <w:rPr>
          <w:color w:val="000000"/>
          <w:sz w:val="28"/>
          <w:rFonts w:ascii="Times New Roman" w:hAnsi="Times New Roman"/>
        </w:rPr>
      </w:pPr>
      <w:r>
        <w:rPr>
          <w:sz w:val="28"/>
          <w:rFonts w:ascii="Times New Roman" w:hAnsi="Times New Roman"/>
        </w:rPr>
        <w:t xml:space="preserve">Oʻzbekiston Respublikasi Fuqarolik protsessual Kodeksining 96-moddasiga koʻra, e</w:t>
      </w:r>
      <w:r>
        <w:rPr>
          <w:color w:val="000000"/>
          <w:sz w:val="28"/>
          <w:rFonts w:ascii="Times New Roman" w:hAnsi="Times New Roman"/>
        </w:rPr>
        <w:t xml:space="preserve">kspert (ekspertlar komissiyasi) xulosasi asoslantirilmaganda yoki uning toʻgʻriligiga shubha tugʻilganda yoxud unga asos qilib olingan dalillar ishonchli emas deb topilganda yoki ekspertizani oʻtkazishning protsessual qoidalari jiddiy ravishda buzilganda qayta ekspertiza tayinlanadi.</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 tayinlanganda ekspert (ekspertlar komissiyasi) oldiga ilgari qoʻllanilgan tekshirish usullarining ilmiy asoslanganligi toʻgʻrisidagi masala qoʻyilishi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ekspertizani tayinlash toʻgʻrisidagi sud ajrimida qayta ekspertizani tayinlagan sudning birinchi (ilgarigi) ekspertiza xulosasiga qoʻshilmaganligi sabablari keltirilishi kerak. </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 oʻtkazish boshqa ekspertga (ekspertlar komissiyasiga) topshiriladi. Birinchi (ilgarigi) ekspertizani oʻtkazgan ekspert (ekspertlar komissiyasi) qayta ekspertiza oʻtkazishda hozir boʻlishi va tushuntirishlar berishi mumkin, lekin u tekshirishlar oʻtkazish va xulosa tuzishda ishtirok etmaydi.</w:t>
      </w:r>
    </w:p>
    <w:p>
      <w:pPr>
        <w:jc w:val="both"/>
        <w:ind w:firstLine="709"/>
        <w:spacing w:after="0"/>
        <w:rPr>
          <w:b/>
          <w:sz w:val="28"/>
          <w:rFonts w:ascii="Times New Roman" w:hAnsi="Times New Roman"/>
        </w:rPr>
      </w:pPr>
      <w:r>
        <w:rPr>
          <w:sz w:val="28"/>
          <w:rFonts w:ascii="Times New Roman" w:hAnsi="Times New Roman"/>
        </w:rPr>
        <w:t xml:space="preserve">Oʻzbekiston Respublikasi Fuqarolik protsessual Kodeksining 96, 99 va 100-moddalariga “Sud ekspertizasi toʻgʻrisida»gi Qonunining 18-moddasiga asosan,</w:t>
      </w:r>
    </w:p>
    <w:p>
      <w:pPr>
        <w:jc w:val="center"/>
        <w:spacing w:after="0"/>
        <w:rPr>
          <w:color w:val="000000"/>
          <w:sz w:val="28"/>
          <w:rFonts w:ascii="Times New Roman" w:hAnsi="Times New Roman"/>
        </w:rPr>
      </w:pPr>
      <w:r>
        <w:rPr>
          <w:color w:val="000000"/>
          <w:sz w:val="28"/>
          <w:rFonts w:ascii="Times New Roman" w:hAnsi="Times New Roman"/>
        </w:rPr>
        <w:t>SOʻRAYMAN:</w:t>
      </w:r>
    </w:p>
    <w:p>
      <w:pPr>
        <w:jc w:val="both"/>
        <w:ind w:firstLine="684"/>
        <w:spacing w:after="0"/>
        <w:rPr>
          <w:color w:val="000000"/>
          <w:sz w:val="28"/>
          <w:rFonts w:ascii="Times New Roman" w:hAnsi="Times New Roman"/>
        </w:rPr>
      </w:pPr>
      <w:r>
        <w:rPr>
          <w:sz w:val="28"/>
          <w:rFonts w:ascii="Times New Roman" w:hAnsi="Times New Roman"/>
        </w:rPr>
        <w:t xml:space="preserve">Mazkur fuqarolik ishi boʻyicha qayta (takroriy) ekspertiza tayinlashingizni soʻrayman.</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{"Y":4}</w:instrText>
        <w:fldChar w:fldCharType="separate"/>
      </w:r>
      <w:r>
        <w:rPr>
          <w:b/>
          <w:vanish w:val="false"/>
          <w:sz w:val="28"/>
          <w:rFonts w:ascii="Times New Roman" w:hAnsi="Times New Roman"/>
        </w:rPr>
        <w:t xml:space="preserve">Iltimosnoma berilgan sana</w:t>
        <w:fldChar w:fldCharType="end"/>
      </w:r>
      <w:r>
        <w:rPr>
          <w:b/>
          <w:sz w:val="28"/>
          <w:rFonts w:ascii="Times New Roman" w:hAnsi="Times New Roman"/>
        </w:rPr>
        <w:t xml:space="preserve">          </w:t>
      </w:r>
    </w:p>
    <w:p>
      <w:pPr>
        <w:jc w:val="both"/>
        <w:spacing w:after="0"/>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77B4E"/>
    <w:rsid w:val="000A663C"/>
    <w:rsid w:val="00113036"/>
    <w:rsid w:val="00172B51"/>
    <w:rsid w:val="001C1B2C"/>
    <w:rsid w:val="001E3848"/>
    <w:rsid w:val="001F1973"/>
    <w:rsid w:val="00245740"/>
    <w:rsid w:val="00275BBB"/>
    <w:rsid w:val="002A429F"/>
    <w:rsid w:val="002D3C34"/>
    <w:rsid w:val="00363C25"/>
    <w:rsid w:val="003C156A"/>
    <w:rsid w:val="004246AE"/>
    <w:rsid w:val="004547D8"/>
    <w:rsid w:val="00482439"/>
    <w:rsid w:val="004E6318"/>
    <w:rsid w:val="00582785"/>
    <w:rsid w:val="00651FF4"/>
    <w:rsid w:val="006718D3"/>
    <w:rsid w:val="006E242D"/>
    <w:rsid w:val="00731279"/>
    <w:rsid w:val="00745300"/>
    <w:rsid w:val="0075215D"/>
    <w:rsid w:val="00760909"/>
    <w:rsid w:val="00792422"/>
    <w:rsid w:val="007C4520"/>
    <w:rsid w:val="007E2A31"/>
    <w:rsid w:val="00836C02"/>
    <w:rsid w:val="008B404F"/>
    <w:rsid w:val="008B61DC"/>
    <w:rsid w:val="008C66B1"/>
    <w:rsid w:val="008E3028"/>
    <w:rsid w:val="008F1313"/>
    <w:rsid w:val="008F1F90"/>
    <w:rsid w:val="00920972"/>
    <w:rsid w:val="00952343"/>
    <w:rsid w:val="009E4CFF"/>
    <w:rsid w:val="00A311E4"/>
    <w:rsid w:val="00A47D55"/>
    <w:rsid w:val="00A51571"/>
    <w:rsid w:val="00A82AF4"/>
    <w:rsid w:val="00A91D33"/>
    <w:rsid w:val="00AE38F3"/>
    <w:rsid w:val="00B36514"/>
    <w:rsid w:val="00B63C81"/>
    <w:rsid w:val="00C06CCB"/>
    <w:rsid w:val="00C8356F"/>
    <w:rsid w:val="00CC19A1"/>
    <w:rsid w:val="00CE5B81"/>
    <w:rsid w:val="00D0568F"/>
    <w:rsid w:val="00E252FE"/>
    <w:rsid w:val="00F06E96"/>
    <w:rsid w:val="00F06F0E"/>
    <w:rsid w:val="00F9417F"/>
    <w:rsid w:val="00FC2036"/>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2022-08-19T06:23:00Z</dcterms:created>
  <dcterms:modified xsi:type="dcterms:W3CDTF">2022-08-19T06:23:00Z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Iltimosnoma rekvizitlari</w:name>
    <w:value w:hidden="true">
      <w:unit w:active="false"/>
    </w:value>
  </w:element>
  <w:element w:id="3" w:kind="variable" w:selector="check" w:type="string" w:valueMode="normal" w:required="false" w:groupID="2">
    <w:identifier xml:space="preserve">ID3</w:identifier>
    <w:name xml:space="preserve">Iltimosnoma berilgan fuqarolik sudi nomi</w:name>
    <w:value w:hidden="false">
      <w:unit w:active="false"/>
    </w:value>
  </w:element>
  <w:element w:id="4" w:kind="variable" w:selector="check" w:type="string" w:valueMode="normal" w:required="false" w:groupID="2">
    <w:identifier xml:space="preserve">ID4</w:identifier>
    <w:name xml:space="preserve">Iltimosnoma berilgan sana</w:name>
    <w:value w:hidden="false">
      <w:unit w:active="false"/>
    </w:value>
  </w:element>
  <w:element w:id="5" w:kind="category" w:selector="check" w:type="string" w:valueMode="normal" w:required="false">
    <w:identifier xml:space="preserve">ID5</w:identifier>
    <w:name xml:space="preserve">Iltimosnoma beruvchi</w:name>
    <w:value w:hidden="true">
      <w:unit w:active="false"/>
    </w:value>
  </w:element>
  <w:element w:id="6" w:kind="variable" w:selector="check" w:type="string" w:valueMode="normal" w:required="false" w:groupID="5">
    <w:identifier xml:space="preserve">ID6</w:identifier>
    <w:name xml:space="preserve">Iltimosnoma beruvchi shaxsning yashash manzili</w:name>
    <w:value w:hidden="false">
      <w:unit w:active="false"/>
    </w:value>
  </w:element>
  <w:element w:id="7" w:kind="variable" w:selector="check" w:type="string" w:valueMode="normal" w:required="false" w:groupID="5">
    <w:identifier xml:space="preserve">ID7</w:identifier>
    <w:name xml:space="preserve">Iltimosnoma beruvchi shaxsning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daʼvogarning F.I.O.si</w:name>
    <w:value w:hidden="false">
      <w:unit w:active="false"/>
    </w:value>
  </w:element>
  <w:element w:id="10" w:kind="variable" w:selector="check" w:type="string" w:valueMode="normal" w:required="false" w:groupID="8">
    <w:identifier xml:space="preserve">ID10</w:identifier>
    <w:name xml:space="preserve">Ish bo‘yicha javobgarning F.I.O.si</w:name>
    <w:value w:hidden="false">
      <w:unit w:active="false"/>
    </w:value>
  </w:element>
  <w:element w:id="11" w:kind="variable" w:selector="check" w:type="string" w:valueMode="normal" w:required="false" w:groupID="8">
    <w:identifier xml:space="preserve">ID11</w:identifier>
    <w:name xml:space="preserve">Daʼvo ariza mazmuni</w:name>
    <w:value w:hidden="false">
      <w:unit w:active="false"/>
    </w:value>
  </w:element>
  <w:element w:id="12" w:kind="variable" w:selector="check" w:type="string" w:valueMode="normal" w:required="false" w:groupID="8">
    <w:identifier xml:space="preserve">ID12</w:identifier>
    <w:name xml:space="preserve">Ekspertiza tayinlangan sana</w:name>
    <w:value w:hidden="false">
      <w:unit w:active="false"/>
    </w:value>
  </w:element>
  <w:element w:id="13" w:kind="variable" w:selector="check" w:type="string" w:valueMode="normal" w:required="false" w:groupID="8">
    <w:identifier xml:space="preserve">ID13</w:identifier>
    <w:name xml:space="preserve">Tayinlangan ekspertiza turi</w:name>
    <w:value w:hidden="false">
      <w:unit w:active="false"/>
    </w:value>
  </w:element>
  <w:element w:id="14" w:kind="variable" w:selector="check" w:type="string" w:valueMode="normal" w:required="false" w:groupID="8">
    <w:identifier xml:space="preserve">ID14</w:identifier>
    <w:name xml:space="preserve">Ekspertiza xulosasi berilgan sana</w:name>
    <w:value w:hidden="false">
      <w:unit w:active="false"/>
    </w:value>
  </w:element>
  <w:element w:id="15" w:kind="variable" w:selector="check" w:type="string" w:valueMode="normal" w:required="false" w:groupID="8">
    <w:identifier xml:space="preserve">ID15</w:identifier>
    <w:name xml:space="preserve">Ekspertiza xulosaning mazmuni</w:name>
    <w:value w:hidden="false">
      <w:unit w:active="false"/>
    </w:value>
  </w:element>
  <w:element w:id="16" w:kind="variable" w:selector="check" w:type="string" w:valueMode="normal" w:required="false" w:groupID="8">
    <w:identifier xml:space="preserve">ID16</w:identifier>
    <w:name xml:space="preserve">Iltimosnoma beruvchi ekspertiza xulosasini asossiz deb hisoblashining sabablari</w:name>
    <w:comment xml:space="preserve">Izoh: Sabablar to‘liq, aniq va asoslangan bo‘lishi lozim</w:comment>
    <w:value w:hidden="false">
      <w:unit w:active="false"/>
    </w:value>
  </w:element>
  <w:element w:id="17" w:kind="variable" w:selector="check" w:type="string" w:valueMode="normal" w:required="false" w:groupID="8">
    <w:identifier xml:space="preserve">ID17</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