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1" w:lineRule="exact"/>
      </w:pPr>
    </w:p>
    <w:p>
      <w:pPr>
        <w:pStyle w:val="1"/>
        <w:jc w:val="center"/>
        <w:ind w:firstLine="0"/>
        <w:spacing w:after="460"/>
      </w:pPr>
      <w:r>
        <w:rPr>
          <w:rStyle w:val="a3"/>
          <w:b/>
          <w:rFonts w:ascii="Times New Roman" w:hAnsi="Times New Roman"/>
        </w:rPr>
        <w:t xml:space="preserve">QISHLOQ XOʻJALIK MAHSULOTLARI YETISHTIRUVCHILARGA</w:t>
        <w:br/>
        <w:t xml:space="preserve">MINERAL OʻGʻITLAR YETKAZIB BERISH TOʻGʻRISIDAGI SHARTNOMA</w:t>
      </w:r>
    </w:p>
    <w:p>
      <w:pPr>
        <w:jc w:val="center"/>
        <w:shd w:fill="ffffff"/>
        <w:spacing w:before="15" w:after="15"/>
        <w:rPr>
          <w:rStyle w:val="structures"/>
          <w:sz w:val="28"/>
          <w:rFonts w:ascii="Times New Roman" w:hAnsi="Times New Roman"/>
        </w:rPr>
      </w:pPr>
      <w:r>
        <w:rPr>
          <w:rStyle w:val="structures"/>
          <w:vanish w:val="false"/>
          <w:sz w:val="28"/>
          <w:rFonts w:ascii="Times New Roman" w:hAnsi="Times New Roman"/>
        </w:rPr>
        <w:fldChar w:fldCharType="begin"/>
        <w:instrText xml:space="preserve">X {"Y":2}</w:instrText>
        <w:fldChar w:fldCharType="separate"/>
      </w:r>
      <w:r>
        <w:rPr>
          <w:rStyle w:val="structures"/>
          <w:vanish w:val="false"/>
          <w:sz w:val="28"/>
          <w:rFonts w:ascii="Times New Roman" w:hAnsi="Times New Roman"/>
        </w:rPr>
        <w:t xml:space="preserve">Shartnoma tuzilgan vaqt</w:t>
        <w:fldChar w:fldCharType="end"/>
      </w:r>
      <w:r>
        <w:rPr>
          <w:rStyle w:val="structures"/>
          <w:sz w:val="28"/>
          <w:rFonts w:ascii="Times New Roman" w:hAnsi="Times New Roman"/>
        </w:rPr>
        <w:t xml:space="preserve">        </w:t>
      </w:r>
      <w:r>
        <w:rPr>
          <w:rStyle w:val="structures"/>
          <w:vanish w:val="false"/>
          <w:sz w:val="28"/>
          <w:rFonts w:ascii="Times New Roman" w:hAnsi="Times New Roman"/>
        </w:rPr>
        <w:fldChar w:fldCharType="begin"/>
        <w:instrText xml:space="preserve">X {"Y":3}</w:instrText>
        <w:fldChar w:fldCharType="separate"/>
      </w:r>
      <w:r>
        <w:rPr>
          <w:rStyle w:val="structures"/>
          <w:vanish w:val="false"/>
          <w:sz w:val="28"/>
          <w:rFonts w:ascii="Times New Roman" w:hAnsi="Times New Roman"/>
        </w:rPr>
        <w:t xml:space="preserve">Shartnoma raqami – son</w:t>
        <w:fldChar w:fldCharType="end"/>
      </w:r>
      <w:r>
        <w:rPr>
          <w:sz w:val="28"/>
          <w:rFonts w:ascii="Times New Roman" w:hAnsi="Times New Roman"/>
        </w:rPr>
        <w:t xml:space="preserve">        </w:t>
      </w:r>
      <w:r>
        <w:rPr>
          <w:rStyle w:val="structures"/>
          <w:vanish w:val="false"/>
          <w:sz w:val="28"/>
          <w:rFonts w:ascii="Times New Roman" w:hAnsi="Times New Roman"/>
        </w:rPr>
        <w:fldChar w:fldCharType="begin"/>
        <w:instrText xml:space="preserve">X {"Y":4}</w:instrText>
        <w:fldChar w:fldCharType="separate"/>
      </w:r>
      <w:r>
        <w:rPr>
          <w:rStyle w:val="structures"/>
          <w:vanish w:val="false"/>
          <w:sz w:val="28"/>
          <w:rFonts w:ascii="Times New Roman" w:hAnsi="Times New Roman"/>
        </w:rPr>
        <w:t xml:space="preserve">Shartnoma tuzilgan joy</w:t>
        <w:fldChar w:fldCharType="end"/>
      </w:r>
    </w:p>
    <w:p>
      <w:pPr>
        <w:pStyle w:val="1"/>
        <w:jc w:val="both"/>
        <w:ind w:firstLine="420"/>
        <w:spacing w:after="0"/>
        <w:tabs>
          <w:tab w:val="left" w:pos="7394" w:leader="underscore"/>
        </w:tabs>
        <w:rPr>
          <w:rStyle w:val="a3"/>
          <w:rFonts w:ascii="Times New Roman" w:hAnsi="Times New Roman"/>
        </w:rPr>
      </w:pPr>
    </w:p>
    <w:p>
      <w:pPr>
        <w:pStyle w:val="1"/>
        <w:jc w:val="both"/>
        <w:ind w:firstLine="420"/>
        <w:spacing w:after="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Taʼminotchi tashkilotning nomi, tashkiliy-huquqiy shakli</w:t>
        <w:fldChar w:fldCharType="end"/>
      </w:r>
      <w:r>
        <w:rPr>
          <w:rStyle w:val="a3"/>
          <w:rFonts w:ascii="Times New Roman" w:hAnsi="Times New Roman"/>
        </w:rPr>
        <w:t xml:space="preserve"> (keyingi oʻrinlarda “Taʼminotchi” deb yuritiladi) nomidan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Taʼminotchiga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Taʼminotchi tashkilot rahbari lavozimi va F.I.Osi</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Xoʻjalik tashkilotning nomi, tashkiliy-huquqiy shakli</w:t>
        <w:fldChar w:fldCharType="end"/>
      </w:r>
      <w:r>
        <w:rPr>
          <w:rStyle w:val="a3"/>
          <w:rFonts w:ascii="Times New Roman" w:hAnsi="Times New Roman"/>
        </w:rPr>
        <w:t xml:space="preserve"> (keyingi oʻrinlarda “Xoʻjalik” deb yuritiladi) nomidan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Xoʻjalik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{"Y":12}</w:instrText>
        <w:fldChar w:fldCharType="separate"/>
      </w:r>
      <w:r>
        <w:rPr>
          <w:rStyle w:val="a3"/>
          <w:vanish w:val="false"/>
          <w:rFonts w:ascii="Times New Roman" w:hAnsi="Times New Roman"/>
        </w:rPr>
        <w:t xml:space="preserve">Xoʻjalik tashkilot rahbari lavozimi va F.I.Osi</w:t>
        <w:fldChar w:fldCharType="end"/>
      </w:r>
      <w:r>
        <w:rPr>
          <w:rStyle w:val="a3"/>
          <w:rFonts w:ascii="Times New Roman" w:hAnsi="Times New Roman"/>
        </w:rPr>
        <w:t xml:space="preserve">ikkinchi tomondan, mazkur shartnomani</w:t>
      </w:r>
      <w:r>
        <w:t xml:space="preserve"> </w:t>
      </w:r>
      <w:r>
        <w:rPr>
          <w:rStyle w:val="a3"/>
          <w:rFonts w:ascii="Times New Roman" w:hAnsi="Times New Roman"/>
        </w:rPr>
        <w:t xml:space="preserve">quyidagilar toʻgʻrisida tuzdilar:</w:t>
      </w:r>
    </w:p>
    <w:p>
      <w:pPr>
        <w:pStyle w:val="1"/>
        <w:jc w:val="both"/>
        <w:ind w:firstLine="420"/>
        <w:spacing w:after="0"/>
        <w:tabs>
          <w:tab w:val="left" w:pos="7394" w:leader="underscore"/>
        </w:tabs>
      </w:pPr>
    </w:p>
    <w:p>
      <w:pPr>
        <w:pStyle w:val="1"/>
        <w:numPr>
          <w:numId w:val="1"/>
          <w:ilvl w:val="0"/>
        </w:numPr>
        <w:jc w:val="center"/>
        <w:ind w:firstLine="0"/>
        <w:tabs>
          <w:tab w:val="left" w:pos="339"/>
        </w:tabs>
      </w:pPr>
      <w:r>
        <w:rPr>
          <w:rStyle w:val="a3"/>
          <w:b/>
          <w:rFonts w:ascii="Times New Roman" w:hAnsi="Times New Roman"/>
        </w:rPr>
        <w:t xml:space="preserve">SHARTNOMA PREDMETI</w:t>
      </w:r>
    </w:p>
    <w:p>
      <w:pPr>
        <w:pStyle w:val="1"/>
        <w:numPr>
          <w:numId w:val="1"/>
          <w:ilvl w:val="1"/>
        </w:numPr>
        <w:jc w:val="both"/>
        <w:ind w:firstLine="420"/>
        <w:spacing w:after="0"/>
        <w:tabs>
          <w:tab w:val="left" w:pos="908"/>
        </w:tabs>
        <w:rPr>
          <w:rStyle w:val="a3"/>
          <w:rFonts w:ascii="Times New Roman" w:hAnsi="Times New Roman"/>
        </w:rPr>
      </w:pPr>
      <w:r>
        <w:rPr>
          <w:rStyle w:val="a3"/>
          <w:rFonts w:ascii="Times New Roman" w:hAnsi="Times New Roman"/>
        </w:rPr>
        <w:t xml:space="preserve">Taʼminotchi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Taʼminotchi tashkilotning nomi, tashkiliy-huquqiy shakli</w:t>
        <w:fldChar w:fldCharType="end"/>
      </w:r>
      <w:r>
        <w:rPr>
          <w:rStyle w:val="a3"/>
          <w:rFonts w:ascii="Times New Roman" w:hAnsi="Times New Roman"/>
        </w:rPr>
        <w:t>ning</w:t>
      </w:r>
      <w:r>
        <w:t xml:space="preserve"> </w:t>
      </w:r>
      <w:r>
        <w:rPr>
          <w:rStyle w:val="a3"/>
          <w:rFonts w:ascii="Times New Roman" w:hAnsi="Times New Roman"/>
        </w:rPr>
        <w:t xml:space="preserve">taqsimoti boʻyicha qoʻyidagi</w:t>
      </w:r>
      <w:r>
        <w:t xml:space="preserve"> </w:t>
      </w:r>
      <w:r>
        <w:rPr>
          <w:rStyle w:val="a3"/>
          <w:rFonts w:ascii="Times New Roman" w:hAnsi="Times New Roman"/>
        </w:rPr>
        <w:t xml:space="preserve">assortimentda, miqdorda va muddatlarda tegishli standartlar va texnik shartlar talablariga javob beradigan mineral oʻgʻitlarni (keyingi oʻrinlarda mahsulot deb yuritiladi) shartnomaning amal qilish muddati davomida muntazam yetkazib berishni, Xoʻjalik esa, yetkazib berilgan mahsulotni qabul qilib olish, ushbu shartnomada nazarda tutilgan tartibda va muddatda uning haqini toʻlash majburiyatini zimmasiga oladi:</w:t>
      </w:r>
    </w:p>
    <w:p>
      <w:pPr>
        <w:pStyle w:val="1"/>
        <w:jc w:val="both"/>
        <w:ind w:firstLine="0"/>
        <w:spacing w:after="0"/>
        <w:tabs>
          <w:tab w:val="left" w:pos="908"/>
        </w:tabs>
        <w:rPr>
          <w:rStyle w:val="a3"/>
          <w:rFonts w:ascii="Times New Roman" w:hAnsi="Times New Roman"/>
        </w:rPr>
      </w:pP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Mineral oʻgʻit nomi</w:t>
        <w:fldChar w:fldCharType="end"/>
      </w:r>
    </w:p>
    <w:p>
      <w:pPr>
        <w:pStyle w:val="1"/>
        <w:jc w:val="both"/>
        <w:ind w:firstLine="0"/>
        <w:spacing w:after="0"/>
        <w:tabs>
          <w:tab w:val="left" w:pos="908"/>
        </w:tabs>
        <w:rPr>
          <w:rStyle w:val="a3"/>
          <w:rFonts w:ascii="Times New Roman" w:hAnsi="Times New Roman"/>
        </w:rPr>
      </w:pP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Tovar birligi bahosi</w:t>
        <w:fldChar w:fldCharType="end"/>
      </w:r>
    </w:p>
    <w:p>
      <w:pPr>
        <w:pStyle w:val="1"/>
        <w:jc w:val="both"/>
        <w:ind w:firstLine="0"/>
        <w:spacing w:after="0"/>
        <w:tabs>
          <w:tab w:val="left" w:pos="908"/>
        </w:tabs>
        <w:rPr>
          <w:rStyle w:val="a3"/>
          <w:rFonts w:ascii="Times New Roman" w:hAnsi="Times New Roman"/>
        </w:rPr>
      </w:pP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Jami yillik miqdor</w:t>
        <w:fldChar w:fldCharType="end"/>
      </w:r>
    </w:p>
    <w:p>
      <w:pPr>
        <w:pStyle w:val="1"/>
        <w:numPr>
          <w:numId w:val="1"/>
          <w:ilvl w:val="1"/>
        </w:numPr>
        <w:jc w:val="both"/>
        <w:ind w:firstLine="440"/>
        <w:spacing w:after="0"/>
        <w:tabs>
          <w:tab w:val="left" w:pos="958"/>
        </w:tabs>
      </w:pPr>
      <w:r>
        <w:rPr>
          <w:rStyle w:val="a3"/>
          <w:rFonts w:ascii="Times New Roman" w:hAnsi="Times New Roman"/>
        </w:rPr>
        <w:t xml:space="preserve">Yetkazib beriladigan mahsulot foydalanishga tayyorlangan boʻlishi, belgilangan tartibda turlarga ajratilgan va idishlarga joylashtirilgan boʻlishi lozim.</w:t>
      </w:r>
    </w:p>
    <w:p>
      <w:pPr>
        <w:pStyle w:val="1"/>
        <w:numPr>
          <w:numId w:val="1"/>
          <w:ilvl w:val="1"/>
        </w:numPr>
        <w:jc w:val="both"/>
        <w:ind w:firstLine="440"/>
        <w:spacing w:after="180"/>
        <w:tabs>
          <w:tab w:val="left" w:pos="958"/>
          <w:tab w:val="left" w:pos="2640" w:leader="underscore"/>
        </w:tabs>
      </w:pPr>
      <w:r>
        <w:rPr>
          <w:rStyle w:val="a3"/>
          <w:rFonts w:ascii="Times New Roman" w:hAnsi="Times New Roman"/>
        </w:rPr>
        <w:t xml:space="preserve">Mahsulotlar koʻp marta foydalaniladigan va qaytarilishi lozim boʻlgan idishlarda yetkazib beriladigan taqdirda, Xoʻjalik mahsulotni qabul qilgandan soʻng idishlarni qaytarishi lozim.</w:t>
      </w:r>
    </w:p>
    <w:p>
      <w:pPr>
        <w:pStyle w:val="1"/>
        <w:numPr>
          <w:numId w:val="1"/>
          <w:ilvl w:val="0"/>
        </w:numPr>
        <w:jc w:val="both"/>
        <w:ind w:firstLine="440"/>
        <w:spacing w:after="180"/>
        <w:tabs>
          <w:tab w:val="left" w:pos="822"/>
        </w:tabs>
        <w:rPr>
          <w:rStyle w:val="a3"/>
          <w:rFonts w:ascii="Times New Roman" w:hAnsi="Times New Roman"/>
        </w:rPr>
      </w:pPr>
      <w:r>
        <w:rPr>
          <w:rStyle w:val="a3"/>
          <w:b/>
          <w:rFonts w:ascii="Times New Roman" w:hAnsi="Times New Roman"/>
        </w:rPr>
        <w:t xml:space="preserve">MAHSULOTNI YETKAZIB BERISH SHARTLARI VA ASSORTIMENTI</w:t>
        <w:br/>
      </w:r>
    </w:p>
    <w:p>
      <w:pPr>
        <w:pStyle w:val="1"/>
        <w:jc w:val="both"/>
        <w:ind w:firstLine="0"/>
        <w:spacing w:after="180"/>
        <w:tabs>
          <w:tab w:val="left" w:pos="822"/>
        </w:tabs>
      </w:pPr>
      <w:r>
        <w:t xml:space="preserve">        2.1. </w:t>
      </w:r>
      <w:r>
        <w:rPr>
          <w:rStyle w:val="a3"/>
          <w:rFonts w:ascii="Times New Roman" w:hAnsi="Times New Roman"/>
        </w:rPr>
        <w:t xml:space="preserve">Taʼminotchi mazkur shartnomaning 1.1-bandida nazarda tutilgan assortimentdagi mahsulotlarni oʻz kuchi, vositalari va hisobidan ortish va ushbu shartnomaning 2.3-bandida belgilangan joyga oʻz hisobidan yetkazib berish </w:t>
      </w:r>
      <w:r>
        <w:rPr>
          <w:rStyle w:val="2"/>
          <w:i w:val="false"/>
          <w:sz w:val="24"/>
          <w:rFonts w:ascii="Times New Roman" w:hAnsi="Times New Roman"/>
        </w:rPr>
        <w:t xml:space="preserve">majburiyatini oladi.</w:t>
      </w:r>
    </w:p>
    <w:p>
      <w:pPr>
        <w:pStyle w:val="1"/>
        <w:jc w:val="both"/>
        <w:ind w:firstLine="440"/>
        <w:rPr>
          <w:rStyle w:val="a3"/>
          <w:rFonts w:ascii="Times New Roman" w:hAnsi="Times New Roman"/>
        </w:rPr>
      </w:pPr>
      <w:r>
        <w:rPr>
          <w:rStyle w:val="a3"/>
          <w:rFonts w:ascii="Times New Roman" w:hAnsi="Times New Roman"/>
        </w:rPr>
        <w:t xml:space="preserve">Qabul qilish joyida mahsulotni tushirib olish Xoʻjalikning kuchi, vositalari va hisobidan amalga oshiriladi.</w:t>
      </w:r>
    </w:p>
    <w:p>
      <w:pPr>
        <w:pStyle w:val="1"/>
        <w:numPr>
          <w:numId w:val="2"/>
          <w:ilvl w:val="1"/>
        </w:numPr>
        <w:jc w:val="both"/>
        <w:ind w:firstLine="420"/>
        <w:spacing w:after="0"/>
        <w:tabs>
          <w:tab w:val="left" w:pos="908"/>
        </w:tabs>
      </w:pPr>
      <w:r>
        <w:rPr>
          <w:rStyle w:val="a3"/>
          <w:rFonts w:ascii="Times New Roman" w:hAnsi="Times New Roman"/>
        </w:rPr>
        <w:t xml:space="preserve">Taʼminotchi Xoʻjalikning roziligi bilan mahsulotni muddatidan oldin yetkazib berishga haqli. Bu holda, muddatidan oldin yetkazilgan va Xoʻjalik tomonidan qabul kilingan mahsulot keyingi davrda yetkazib berilishi lozim boʻlgan tovarlar miqdoriga kiritiladi.</w:t>
      </w:r>
    </w:p>
    <w:p>
      <w:pPr>
        <w:pStyle w:val="1"/>
        <w:numPr>
          <w:numId w:val="2"/>
          <w:ilvl w:val="1"/>
        </w:numPr>
        <w:jc w:val="both"/>
        <w:ind w:firstLine="420"/>
        <w:spacing w:after="0"/>
        <w:tabs>
          <w:tab w:val="left" w:pos="908"/>
        </w:tabs>
      </w:pPr>
      <w:r>
        <w:rPr>
          <w:rStyle w:val="a3"/>
          <w:rFonts w:ascii="Times New Roman" w:hAnsi="Times New Roman"/>
        </w:rPr>
        <w:t xml:space="preserve">Mahsulotni qabul kilib olish joyi etib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Mahsulotni qabul qilib olish joyi</w:t>
        <w:fldChar w:fldCharType="end"/>
      </w:r>
      <w:r>
        <w:rPr>
          <w:rStyle w:val="a3"/>
          <w:rFonts w:ascii="Times New Roman" w:hAnsi="Times New Roman"/>
        </w:rPr>
        <w:t>belgilanadi.</w:t>
      </w:r>
    </w:p>
    <w:p>
      <w:pPr>
        <w:pStyle w:val="1"/>
        <w:numPr>
          <w:numId w:val="2"/>
          <w:ilvl w:val="1"/>
        </w:numPr>
        <w:jc w:val="both"/>
        <w:ind w:firstLine="420"/>
        <w:spacing w:after="0"/>
        <w:tabs>
          <w:tab w:val="left" w:pos="903"/>
        </w:tabs>
      </w:pPr>
      <w:r>
        <w:rPr>
          <w:rStyle w:val="a3"/>
          <w:rFonts w:ascii="Times New Roman" w:hAnsi="Times New Roman"/>
        </w:rPr>
        <w:t xml:space="preserve">Mahsulotni yetkazib berish majburiyati mahsulot Xoʻjalikning oʻgʻit omboriga tushirilgan paytdan bajarilgan hisoblanadi.</w:t>
      </w:r>
    </w:p>
    <w:p>
      <w:pPr>
        <w:pStyle w:val="1"/>
        <w:numPr>
          <w:numId w:val="2"/>
          <w:ilvl w:val="1"/>
        </w:numPr>
        <w:jc w:val="both"/>
        <w:ind w:firstLine="420"/>
        <w:spacing w:after="0"/>
        <w:tabs>
          <w:tab w:val="left" w:pos="913"/>
        </w:tabs>
      </w:pPr>
      <w:r>
        <w:rPr>
          <w:rStyle w:val="a3"/>
          <w:rFonts w:ascii="Times New Roman" w:hAnsi="Times New Roman"/>
        </w:rPr>
        <w:t xml:space="preserve">Xoʻjalik mahsulotni saqlash joylarini tegishli standart talablariga muvofiq holda jihozlashi, mahsulotning sifatli saqlanishi va maqsadli foydalanilishini, olingan mahsulotning uchinchi shaxslarga sotilmasligini taʼminlashi shart.</w:t>
      </w:r>
    </w:p>
    <w:p>
      <w:pPr>
        <w:pStyle w:val="1"/>
        <w:numPr>
          <w:numId w:val="2"/>
          <w:ilvl w:val="1"/>
        </w:numPr>
        <w:jc w:val="both"/>
        <w:ind w:firstLine="420"/>
        <w:spacing w:after="180"/>
        <w:tabs>
          <w:tab w:val="left" w:pos="908"/>
        </w:tabs>
      </w:pPr>
      <w:r>
        <w:rPr>
          <w:rStyle w:val="a3"/>
          <w:rFonts w:ascii="Times New Roman" w:hAnsi="Times New Roman"/>
        </w:rPr>
        <w:t xml:space="preserve">Qoʻshimcha turdagi va miqdordagi mahsulotga talab boʻlgan taqdirda, Taʼminotchi Xoʻjalik bilan uning miqdori va yetkazib berish muddatlarini kelishgan holda tuziladigan tafsilotli roʻyxat (spetsifikatsiya)da nazarda tutilgan qoʻshimcha turkum mahsulotni yetkazib beradi.</w:t>
      </w:r>
    </w:p>
    <w:p>
      <w:pPr>
        <w:pStyle w:val="1"/>
        <w:numPr>
          <w:numId w:val="3"/>
          <w:ilvl w:val="0"/>
        </w:numPr>
        <w:jc w:val="center"/>
        <w:ind w:firstLine="0"/>
        <w:spacing w:after="180"/>
        <w:tabs>
          <w:tab w:val="left" w:pos="327"/>
        </w:tabs>
      </w:pPr>
      <w:r>
        <w:rPr>
          <w:rStyle w:val="a3"/>
          <w:b/>
          <w:rFonts w:ascii="Times New Roman" w:hAnsi="Times New Roman"/>
        </w:rPr>
        <w:t xml:space="preserve">MAHSULOT SIFATI. IDISH VA OʻRASH</w:t>
      </w:r>
    </w:p>
    <w:p>
      <w:pPr>
        <w:pStyle w:val="1"/>
        <w:numPr>
          <w:numId w:val="3"/>
          <w:ilvl w:val="1"/>
        </w:numPr>
        <w:jc w:val="both"/>
        <w:ind w:left="426" w:firstLine="0"/>
        <w:spacing w:after="0" w:line="228" w:lineRule="auto"/>
        <w:tabs>
          <w:tab w:val="left" w:pos="879"/>
        </w:tabs>
      </w:pPr>
      <w:r>
        <w:rPr>
          <w:rStyle w:val="a3"/>
          <w:rFonts w:ascii="Times New Roman" w:hAnsi="Times New Roman"/>
        </w:rPr>
        <w:t xml:space="preserve">Yetkazib berilayotgan mahsulot oʻzining sifati, idishi, butlanishi, markirovkasi va joylashtirilishi jihatidan belgilangan talablarga javob berishi shart.</w:t>
      </w:r>
    </w:p>
    <w:p>
      <w:pPr>
        <w:pStyle w:val="1"/>
        <w:numPr>
          <w:numId w:val="3"/>
          <w:ilvl w:val="1"/>
        </w:numPr>
        <w:jc w:val="both"/>
        <w:ind w:firstLine="420"/>
        <w:spacing w:after="0"/>
        <w:tabs>
          <w:tab w:val="left" w:pos="1289"/>
        </w:tabs>
      </w:pPr>
      <w:r>
        <w:rPr>
          <w:rStyle w:val="a3"/>
          <w:rFonts w:ascii="Times New Roman" w:hAnsi="Times New Roman"/>
        </w:rPr>
        <w:t xml:space="preserve">Taʼminotchi tomonidan mahsulot sifati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Mahsulotning sifatini tasdiqlovchi hujjat nomi</w:t>
        <w:fldChar w:fldCharType="end"/>
      </w:r>
      <w:r>
        <w:rPr>
          <w:rStyle w:val="a3"/>
          <w:rFonts w:ascii="Times New Roman" w:hAnsi="Times New Roman"/>
        </w:rPr>
        <w:t xml:space="preserve">ni </w:t>
      </w:r>
      <w:r>
        <w:rPr>
          <w:rStyle w:val="2"/>
          <w:i w:val="false"/>
          <w:sz w:val="24"/>
          <w:rFonts w:ascii="Times New Roman" w:hAnsi="Times New Roman"/>
        </w:rPr>
        <w:t xml:space="preserve">berish bilan tasdiqlanadi.</w:t>
      </w:r>
    </w:p>
    <w:p>
      <w:pPr>
        <w:pStyle w:val="1"/>
        <w:numPr>
          <w:numId w:val="3"/>
          <w:ilvl w:val="1"/>
        </w:numPr>
        <w:jc w:val="both"/>
        <w:ind w:firstLine="420"/>
        <w:spacing w:after="0"/>
        <w:tabs>
          <w:tab w:val="left" w:pos="908"/>
        </w:tabs>
      </w:pPr>
      <w:r>
        <w:rPr>
          <w:rStyle w:val="a3"/>
          <w:rFonts w:ascii="Times New Roman" w:hAnsi="Times New Roman"/>
        </w:rPr>
        <w:t xml:space="preserve">Taʼminotchi yetkazib berilayotgan mahsulotning sifatiga mahsulot yetkazib berilgan paytdan boshlab kafolat beradi.</w:t>
      </w:r>
    </w:p>
    <w:p>
      <w:pPr>
        <w:pStyle w:val="1"/>
        <w:jc w:val="both"/>
        <w:ind w:firstLine="420"/>
        <w:spacing w:after="180"/>
        <w:tabs>
          <w:tab w:val="left" w:pos="7949" w:leader="underscore"/>
          <w:tab w:val="left" w:pos="7949" w:leader="underscore"/>
        </w:tabs>
      </w:pPr>
      <w:r>
        <w:rPr>
          <w:rStyle w:val="a3"/>
          <w:rFonts w:ascii="Times New Roman" w:hAnsi="Times New Roman"/>
        </w:rPr>
        <w:t xml:space="preserve">Kafolat muddati davomida mahsulotda kamchiliklar aniqlangan taqdirda, Xoʻjalik sifati lozim darajada boʻlmagan yoki boshqa kamchiliklarga ega boʻlgan mahsulotni almashtirish haqida ushbu kamchiliklar aniqlangan paytdan boshlab 3 kun ichida yozma ravishda eʼtiroz bildirishi va 10 kunlik muddat ichida boshqa shu turdagi mahsulotga almashtirishni yoki qonunchilikda belgilangan boshqa talablarni qoʻyishga haqli.</w:t>
      </w:r>
    </w:p>
    <w:p>
      <w:pPr>
        <w:pStyle w:val="1"/>
        <w:numPr>
          <w:numId w:val="3"/>
          <w:ilvl w:val="0"/>
        </w:numPr>
        <w:jc w:val="center"/>
        <w:ind w:firstLine="0"/>
        <w:spacing w:after="180"/>
        <w:tabs>
          <w:tab w:val="left" w:pos="332"/>
        </w:tabs>
      </w:pPr>
      <w:r>
        <w:rPr>
          <w:rStyle w:val="a3"/>
          <w:b/>
          <w:rFonts w:ascii="Times New Roman" w:hAnsi="Times New Roman"/>
        </w:rPr>
        <w:t xml:space="preserve">BAHO VA HISOB-KITOB QILISH TARTIBI</w:t>
      </w:r>
    </w:p>
    <w:p>
      <w:pPr>
        <w:pStyle w:val="1"/>
        <w:numPr>
          <w:numId w:val="3"/>
          <w:ilvl w:val="1"/>
        </w:numPr>
        <w:jc w:val="both"/>
        <w:ind w:firstLine="420"/>
        <w:spacing w:after="0"/>
        <w:tabs>
          <w:tab w:val="left" w:pos="884"/>
        </w:tabs>
      </w:pPr>
      <w:r>
        <w:rPr>
          <w:rStyle w:val="a3"/>
          <w:rFonts w:ascii="Times New Roman" w:hAnsi="Times New Roman"/>
        </w:rPr>
        <w:t xml:space="preserve">Shartnomaning bahosi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Shartnomaning umumiy bahosi</w:t>
        <w:fldChar w:fldCharType="end"/>
      </w:r>
      <w:r>
        <w:rPr>
          <w:rStyle w:val="a3"/>
          <w:rFonts w:ascii="Times New Roman" w:hAnsi="Times New Roman"/>
        </w:rPr>
        <w:t xml:space="preserve"> ming soʻmni tashkil etadi va oʻz ichiga idish va oʻrash vositalari (materiallari)ning qiymatini oladi.</w:t>
      </w:r>
    </w:p>
    <w:p>
      <w:pPr>
        <w:pStyle w:val="1"/>
        <w:numPr>
          <w:numId w:val="3"/>
          <w:ilvl w:val="1"/>
        </w:numPr>
        <w:jc w:val="both"/>
        <w:ind w:firstLine="420"/>
        <w:spacing w:after="60"/>
        <w:tabs>
          <w:tab w:val="left" w:pos="851"/>
        </w:tabs>
        <w:rPr>
          <w:rStyle w:val="a3"/>
          <w:rFonts w:ascii="Times New Roman" w:hAnsi="Times New Roman"/>
        </w:rPr>
      </w:pPr>
      <w:r>
        <w:rPr>
          <w:rStyle w:val="a3"/>
          <w:rFonts w:ascii="Times New Roman" w:hAnsi="Times New Roman"/>
        </w:rPr>
        <w:t xml:space="preserve">Yetkazib beriladigan mahsulot uchun haq toʻlash miqdori taraflar tomonidan har</w:t>
      </w:r>
      <w:r>
        <w:t xml:space="preserve"> </w:t>
      </w:r>
      <w:r>
        <w:rPr>
          <w:rStyle w:val="a3"/>
          <w:rFonts w:ascii="Times New Roman" w:hAnsi="Times New Roman"/>
        </w:rPr>
        <w:t xml:space="preserve">kelishiladigan va mazkur shartnomaning tarkibiy qismi hisoblanadigan mahsulot bahosini kelishish bayonnomasida qayd etiladi.</w:t>
      </w:r>
    </w:p>
    <w:p>
      <w:pPr>
        <w:pStyle w:val="1"/>
        <w:numPr>
          <w:numId w:val="3"/>
          <w:ilvl w:val="1"/>
        </w:numPr>
        <w:jc w:val="both"/>
        <w:ind w:firstLine="426"/>
        <w:spacing w:after="180"/>
        <w:tabs>
          <w:tab w:val="left" w:pos="898"/>
        </w:tabs>
        <w:rPr>
          <w:rStyle w:val="a3"/>
          <w:sz w:val="22"/>
          <w:rFonts w:ascii="Times New Roman" w:hAnsi="Times New Roman"/>
        </w:rPr>
      </w:pPr>
      <w:r>
        <w:rPr>
          <w:rStyle w:val="a3"/>
          <w:rFonts w:ascii="Times New Roman" w:hAnsi="Times New Roman"/>
        </w:rPr>
        <w:t xml:space="preserve">Taraflar yetkazib berilayotgan mahsulot uchun toʻlov 100% miqdorda amalga oshirilishi haqida kelishishlari mumkin va bu shart mazkur shartnomaning «qoʻshimcha shartlar» boʻlimida maxsus qayd etiladi.</w:t>
      </w:r>
    </w:p>
    <w:p>
      <w:pPr>
        <w:pStyle w:val="11"/>
        <w:numPr>
          <w:numId w:val="4"/>
          <w:ilvl w:val="0"/>
        </w:numPr>
        <w:keepNext/>
        <w:keepLines/>
        <w:tabs>
          <w:tab w:val="left" w:pos="591"/>
        </w:tabs>
      </w:pPr>
      <w:bookmarkStart w:id="1" w:name="bookmark0"/>
      <w:r>
        <w:rPr>
          <w:rStyle w:val="10"/>
          <w:rFonts w:ascii="Times New Roman" w:hAnsi="Times New Roman"/>
        </w:rPr>
        <w:t>T</w:t>
      </w:r>
      <w:r>
        <w:rPr>
          <w:rStyle w:val="10"/>
          <w:b/>
          <w:rFonts w:ascii="Times New Roman" w:hAnsi="Times New Roman"/>
        </w:rPr>
        <w:t xml:space="preserve">ARAFLARNING JAVOBGARLIGI</w:t>
        <w:br/>
        <w:t xml:space="preserve">VA NIZOLARNI HAL Q</w:t>
      </w:r>
      <w:r>
        <w:rPr>
          <w:rStyle w:val="10"/>
          <w:b/>
          <w:rFonts w:ascii="Times New Roman" w:hAnsi="Times New Roman"/>
        </w:rPr>
        <w:t xml:space="preserve">ILISH TARTIBI</w:t>
      </w:r>
      <w:bookmarkEnd w:id="1"/>
    </w:p>
    <w:p>
      <w:pPr>
        <w:pStyle w:val="1"/>
        <w:numPr>
          <w:numId w:val="4"/>
          <w:ilvl w:val="1"/>
        </w:numPr>
        <w:jc w:val="both"/>
        <w:ind w:firstLine="440"/>
        <w:spacing w:after="0"/>
        <w:tabs>
          <w:tab w:val="left" w:pos="889"/>
        </w:tabs>
      </w:pPr>
      <w:r>
        <w:rPr>
          <w:rStyle w:val="a3"/>
          <w:rFonts w:ascii="Times New Roman" w:hAnsi="Times New Roman"/>
        </w:rPr>
        <w:t xml:space="preserve">Mazkur shartnoma shartlarini bajarmaganlik yoki lozim darajada bajarmaganlik uchun taraflarning javobgarligi Oʻzbekiston Respublikasining Fuqarolik kodeksi va «Xoʻjalik yurituvchi subyektlar faoliyatining shartnomaviy-huquqiy bazasi toʻgʻrisida»gi Qonuniga muvofiq belgilanadi.</w:t>
      </w:r>
    </w:p>
    <w:p>
      <w:pPr>
        <w:pStyle w:val="1"/>
        <w:numPr>
          <w:numId w:val="4"/>
          <w:ilvl w:val="1"/>
        </w:numPr>
        <w:jc w:val="both"/>
        <w:ind w:firstLine="440"/>
        <w:spacing w:after="0"/>
        <w:tabs>
          <w:tab w:val="left" w:pos="918"/>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4"/>
          <w:ilvl w:val="1"/>
        </w:numPr>
        <w:jc w:val="both"/>
        <w:ind w:firstLine="440"/>
        <w:spacing w:after="180"/>
        <w:tabs>
          <w:tab w:val="left" w:pos="913"/>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1"/>
        <w:numPr>
          <w:numId w:val="4"/>
          <w:ilvl w:val="0"/>
        </w:numPr>
        <w:keepNext/>
        <w:keepLines/>
        <w:tabs>
          <w:tab w:val="left" w:pos="566"/>
        </w:tabs>
        <w:rPr>
          <w:b w:val="false"/>
          <w:rFonts w:ascii="Times New Roman" w:hAnsi="Times New Roman"/>
        </w:rPr>
      </w:pPr>
      <w:bookmarkStart w:id="2" w:name="bookmark2"/>
      <w:r>
        <w:rPr>
          <w:rStyle w:val="10"/>
          <w:b/>
          <w:rFonts w:ascii="Times New Roman" w:hAnsi="Times New Roman"/>
        </w:rPr>
        <w:t>FORS-MAJOR</w:t>
      </w:r>
      <w:bookmarkEnd w:id="2"/>
    </w:p>
    <w:p>
      <w:pPr>
        <w:pStyle w:val="1"/>
        <w:numPr>
          <w:numId w:val="4"/>
          <w:ilvl w:val="1"/>
        </w:numPr>
        <w:jc w:val="both"/>
        <w:ind w:firstLine="440"/>
        <w:spacing w:after="0"/>
        <w:tabs>
          <w:tab w:val="left" w:pos="898"/>
          <w:tab w:val="left" w:pos="6120" w:leader="underscore"/>
        </w:tabs>
      </w:pPr>
      <w:r>
        <w:rPr>
          <w:rStyle w:val="a3"/>
          <w:rFonts w:ascii="Times New Roman" w:hAnsi="Times New Roman"/>
        </w:rPr>
        <w:t xml:space="preserve">Taraflar oʻzlariga bogʻliq boʻlmagan favqulodda, yengib boʻlmas kuch (fors-major holatlari) taʼsirida oʻzlarining shartnomaviy majburiyatlarini bajarmaganliklari yoki lozim darajada bajarmaganliklari uchun javobgarlikdan ozod qilinadilar. Bu holda majburiyatlarni bajarish muddatlari fors-major holatining davom etish muddatiga mutanosib tarzda uzaytiriladi. Fors-major holati 2 oydan ortiq muddat davom etgan taqdirda, shartnoma taraflardan birining tashabbusi bilan bekor qilinishi mumkin.</w:t>
      </w:r>
    </w:p>
    <w:p>
      <w:pPr>
        <w:pStyle w:val="1"/>
        <w:numPr>
          <w:numId w:val="4"/>
          <w:ilvl w:val="1"/>
        </w:numPr>
        <w:jc w:val="both"/>
        <w:ind w:firstLine="440"/>
        <w:spacing w:after="180"/>
        <w:tabs>
          <w:tab w:val="left" w:pos="908"/>
        </w:tabs>
      </w:pPr>
      <w:r>
        <w:rPr>
          <w:rStyle w:val="a3"/>
          <w:rFonts w:ascii="Times New Roman" w:hAnsi="Times New Roman"/>
        </w:rPr>
        <w:t xml:space="preserve">Fors-major holati yuz berganligi vakolatli davlat organing maʼlumotnomasi bilan tasdiqlanadi.</w:t>
      </w:r>
    </w:p>
    <w:p>
      <w:pPr>
        <w:pStyle w:val="11"/>
        <w:numPr>
          <w:numId w:val="4"/>
          <w:ilvl w:val="0"/>
        </w:numPr>
        <w:keepNext/>
        <w:keepLines/>
        <w:tabs>
          <w:tab w:val="left" w:pos="566"/>
        </w:tabs>
        <w:rPr>
          <w:b w:val="false"/>
          <w:rFonts w:ascii="Times New Roman" w:hAnsi="Times New Roman"/>
        </w:rPr>
      </w:pPr>
      <w:bookmarkStart w:id="3" w:name="bookmark4"/>
      <w:r>
        <w:rPr>
          <w:rStyle w:val="10"/>
          <w:b/>
          <w:rFonts w:ascii="Times New Roman" w:hAnsi="Times New Roman"/>
        </w:rPr>
        <w:t xml:space="preserve">SHARTNOMA N</w:t>
      </w:r>
      <w:r>
        <w:rPr>
          <w:rStyle w:val="10"/>
          <w:b/>
          <w:rFonts w:ascii="Times New Roman" w:hAnsi="Times New Roman"/>
        </w:rPr>
        <w:t xml:space="preserve">USXALARI VA AMAL Q</w:t>
      </w:r>
      <w:r>
        <w:rPr>
          <w:rStyle w:val="10"/>
          <w:b/>
          <w:rFonts w:ascii="Times New Roman" w:hAnsi="Times New Roman"/>
        </w:rPr>
        <w:t xml:space="preserve">ILISH MUDDATI</w:t>
      </w:r>
      <w:bookmarkEnd w:id="3"/>
    </w:p>
    <w:p>
      <w:pPr>
        <w:pStyle w:val="1"/>
        <w:numPr>
          <w:numId w:val="4"/>
          <w:ilvl w:val="1"/>
        </w:numPr>
        <w:jc w:val="both"/>
        <w:ind w:firstLine="426"/>
        <w:spacing w:after="0"/>
        <w:tabs>
          <w:tab w:val="left" w:pos="865"/>
        </w:tabs>
      </w:pPr>
      <w:r>
        <w:rPr>
          <w:rStyle w:val="a3"/>
          <w:rFonts w:ascii="Times New Roman" w:hAnsi="Times New Roman"/>
        </w:rPr>
        <w:t xml:space="preserve">Ushbu shartnoma taraflarning vakolatli shaxslari tomonidan imzolangan paytdan boshlab kuchga kiradi va taraflar oʻz majburiyatlarini toʻliq bajargunlariga qadar amal qiladi.</w:t>
      </w:r>
    </w:p>
    <w:p>
      <w:pPr>
        <w:pStyle w:val="1"/>
        <w:numPr>
          <w:numId w:val="4"/>
          <w:ilvl w:val="1"/>
        </w:numPr>
        <w:jc w:val="both"/>
        <w:ind w:firstLine="440"/>
        <w:spacing w:after="180"/>
        <w:tabs>
          <w:tab w:val="left" w:pos="898"/>
        </w:tabs>
      </w:pPr>
      <w:r>
        <w:rPr>
          <w:rStyle w:val="a3"/>
          <w:rFonts w:ascii="Times New Roman" w:hAnsi="Times New Roman"/>
        </w:rPr>
        <w:t xml:space="preserve">Shartnoma ikki asl nusxada tuzilgan boʻlib, ikki nusxasi ham bir xil yuridik kuchga ega va bir nusxasi Taʼminotchida, ikkinchi nusxasi saqlanadi.</w:t>
      </w:r>
    </w:p>
    <w:p>
      <w:pPr>
        <w:pStyle w:val="1"/>
        <w:jc w:val="center"/>
        <w:ind w:firstLine="440"/>
        <w:rPr>
          <w:rStyle w:val="a3"/>
          <w:b/>
          <w:rFonts w:ascii="Times New Roman" w:hAnsi="Times New Roman"/>
        </w:rPr>
      </w:pPr>
    </w:p>
    <w:p>
      <w:pPr>
        <w:pStyle w:val="1"/>
        <w:jc w:val="center"/>
        <w:ind w:firstLine="440"/>
        <w:rPr>
          <w:rStyle w:val="a3"/>
          <w:b/>
          <w:rFonts w:ascii="Times New Roman" w:hAnsi="Times New Roman"/>
        </w:rPr>
      </w:pPr>
      <w:r>
        <w:rPr>
          <w:rStyle w:val="a3"/>
          <w:b/>
          <w:rFonts w:ascii="Times New Roman" w:hAnsi="Times New Roman"/>
        </w:rPr>
        <w:br/>
        <w:t xml:space="preserve">TARAFLARNING REKVIZITLARI:</w:t>
      </w: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869"/>
        <w:gridCol w:w="4869"/>
      </w:tblGrid>
      <w:tr>
        <w:tc>
          <w:tcPr>
            <w:tcW w:w="4869" w:type="dxa"/>
          </w:tcPr>
          <w:p>
            <w:pPr>
              <w:pStyle w:val="1"/>
              <w:jc w:val="both"/>
              <w:ind w:firstLine="440"/>
              <w:rPr>
                <w:rStyle w:val="a3"/>
                <w:b/>
                <w:rFonts w:ascii="Times New Roman" w:hAnsi="Times New Roman"/>
              </w:rPr>
            </w:pPr>
            <w:r>
              <w:rPr>
                <w:rStyle w:val="a3"/>
                <w:b/>
                <w:rFonts w:ascii="Times New Roman" w:hAnsi="Times New Roman"/>
              </w:rPr>
              <w:t>TAʼMINOTCHI: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Taʼminotchining yuridik manzili</w:t>
              <w:fldChar w:fldCharType="end"/>
            </w:r>
          </w:p>
          <w:p>
            <w:pPr>
              <w:pStyle w:val="1"/>
              <w:jc w:val="both"/>
              <w:ind w:firstLine="440"/>
              <w:rPr>
                <w:rStyle w:val="a3"/>
                <w:rFonts w:ascii="Times New Roman" w:hAnsi="Times New Roman"/>
              </w:rPr>
            </w:pPr>
            <w:r>
              <w:rPr>
                <w:rStyle w:val="a3"/>
                <w:rFonts w:ascii="Times New Roman" w:hAnsi="Times New Roman"/>
              </w:rPr>
              <w:t>H/R:</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Taʼminotchining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Taʼminotchining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Taʼminotchining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Taʼminotchi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XOʻJALIK:</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Xoʻjalikning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Xoʻjalikning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Xoʻjalikning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{"Y":29}</w:instrText>
              <w:fldChar w:fldCharType="separate"/>
            </w:r>
            <w:r>
              <w:rPr>
                <w:rStyle w:val="a3"/>
                <w:vanish w:val="false"/>
                <w:rFonts w:ascii="Times New Roman" w:hAnsi="Times New Roman"/>
              </w:rPr>
              <w:t xml:space="preserve">Xoʻjalikning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{"Y":30}</w:instrText>
              <w:fldChar w:fldCharType="separate"/>
            </w:r>
            <w:r>
              <w:rPr>
                <w:rStyle w:val="a3"/>
                <w:vanish w:val="false"/>
                <w:rFonts w:ascii="Times New Roman" w:hAnsi="Times New Roman"/>
              </w:rPr>
              <w:t xml:space="preserve">Xoʻjalikning telefon raqami</w:t>
              <w:fldChar w:fldCharType="end"/>
            </w:r>
          </w:p>
        </w:tc>
      </w:tr>
    </w:tbl>
    <w:p>
      <w:pPr>
        <w:pStyle w:val="1"/>
        <w:jc w:val="center"/>
        <w:ind w:firstLine="440"/>
        <w:rPr>
          <w:rStyle w:val="a3"/>
          <w:b/>
          <w:rFonts w:ascii="Times New Roman" w:hAnsi="Times New Roman"/>
        </w:rPr>
      </w:pPr>
    </w:p>
    <w:p>
      <w:pPr>
        <w:pStyle w:val="1"/>
        <w:jc w:val="both"/>
        <w:ind w:firstLine="440"/>
        <w:rPr>
          <w:rStyle w:val="a3"/>
          <w:rFonts w:ascii="Times New Roman" w:hAnsi="Times New Roman"/>
        </w:rPr>
      </w:pPr>
      <w:r>
        <w:rPr>
          <w:rStyle w:val="a3"/>
          <w:rFonts w:ascii="Times New Roman" w:hAnsi="Times New Roman"/>
        </w:rPr>
        <w:t xml:space="preserve">Muhr oʻrni                                                                     Muhr oʻrni</w:t>
      </w:r>
    </w:p>
    <w:p>
      <w:pPr>
        <w:pStyle w:val="1"/>
        <w:jc w:val="both"/>
        <w:ind w:firstLine="440"/>
        <w:rPr>
          <w:rStyle w:val="a3"/>
          <w:rFonts w:ascii="Times New Roman" w:hAnsi="Times New Roman"/>
        </w:rPr>
      </w:pPr>
    </w:p>
    <w:p>
      <w:pPr>
        <w:pStyle w:val="1"/>
        <w:jc w:val="both"/>
        <w:ind w:firstLine="440"/>
        <w:rPr>
          <w:rStyle w:val="a3"/>
          <w:rFonts w:ascii="Times New Roman" w:hAnsi="Times New Roman"/>
        </w:rPr>
      </w:pPr>
    </w:p>
    <w:p>
      <w:pPr>
        <w:pStyle w:val="1"/>
        <w:jc w:val="both"/>
        <w:ind w:firstLine="440"/>
        <w:rPr>
          <w:rStyle w:val="a3"/>
          <w:rFonts w:ascii="Times New Roman" w:hAnsi="Times New Roman"/>
        </w:rPr>
      </w:pPr>
    </w:p>
    <w:sectPr>
      <w:pgSz w:w="11900" w:h="16840"/>
      <w:pgMar w:left="887" w:right="1265" w:top="1109" w:bottom="657" w:header="681" w:footer="22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A62" w:rsidRDefault="00043A62">
      <w:r>
        <w:separator/>
      </w:r>
    </w:p>
  </w:endnote>
  <w:endnote w:type="continuationSeparator" w:id="0">
    <w:p w:rsidR="00043A62" w:rsidRDefault="0004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A62" w:rsidRDefault="00043A62"/>
  </w:footnote>
  <w:footnote w:type="continuationSeparator" w:id="0">
    <w:p w:rsidR="00043A62" w:rsidRDefault="00043A6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B6B66"/>
    <w:multiLevelType w:val="multilevel"/>
    <w:tmpl w:val="DCBC93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1171354"/>
    <w:multiLevelType w:val="multilevel"/>
    <w:tmpl w:val="8090B20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CC05260"/>
    <w:multiLevelType w:val="multilevel"/>
    <w:tmpl w:val="E36C55B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F0243ED"/>
    <w:multiLevelType w:val="multilevel"/>
    <w:tmpl w:val="3FE46DDA"/>
    <w:lvl w:ilvl="0">
      <w:start w:val="2"/>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E17"/>
    <w:rsid w:val="00043A62"/>
    <w:rsid w:val="0008185D"/>
    <w:rsid w:val="000C1E6E"/>
    <w:rsid w:val="00133660"/>
    <w:rsid w:val="001431DE"/>
    <w:rsid w:val="00167612"/>
    <w:rsid w:val="00170902"/>
    <w:rsid w:val="00183C5B"/>
    <w:rsid w:val="00241615"/>
    <w:rsid w:val="002F63DD"/>
    <w:rsid w:val="0033016A"/>
    <w:rsid w:val="003D169E"/>
    <w:rsid w:val="00456763"/>
    <w:rsid w:val="00482BFD"/>
    <w:rsid w:val="004D7133"/>
    <w:rsid w:val="005B07A0"/>
    <w:rsid w:val="005F1898"/>
    <w:rsid w:val="00614ABA"/>
    <w:rsid w:val="00686CF2"/>
    <w:rsid w:val="006D2A1E"/>
    <w:rsid w:val="006F1E17"/>
    <w:rsid w:val="007F44AE"/>
    <w:rsid w:val="00831B3B"/>
    <w:rsid w:val="00835C97"/>
    <w:rsid w:val="0087383D"/>
    <w:rsid w:val="009E4875"/>
    <w:rsid w:val="009F664D"/>
    <w:rsid w:val="00A167F9"/>
    <w:rsid w:val="00A82573"/>
    <w:rsid w:val="00AC66E4"/>
    <w:rsid w:val="00BE3F81"/>
    <w:rsid w:val="00C3506E"/>
    <w:rsid w:val="00D044EB"/>
    <w:rsid w:val="00D843F9"/>
    <w:rsid w:val="00E321F7"/>
    <w:rsid w:val="00E655AA"/>
    <w:rsid w:val="00ED1D3E"/>
    <w:rsid w:val="00EF5D5C"/>
    <w:rsid w:val="00F65900"/>
    <w:rsid w:val="00F72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57E426-0D6C-42E4-AA49-C151F687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Arial" w:eastAsia="Arial" w:hAnsi="Arial" w:cs="Arial"/>
      <w:b w:val="0"/>
      <w:bCs w:val="0"/>
      <w:i w:val="0"/>
      <w:iCs w:val="0"/>
      <w:smallCaps w:val="0"/>
      <w:strike w:val="0"/>
      <w:sz w:val="82"/>
      <w:szCs w:val="82"/>
      <w:u w:val="none"/>
      <w:lang w:val="en-US" w:eastAsia="en-US"/>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iCs/>
      <w:smallCaps w:val="0"/>
      <w:strike w:val="0"/>
      <w:sz w:val="15"/>
      <w:szCs w:val="15"/>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u w:val="none"/>
    </w:rPr>
  </w:style>
  <w:style w:type="paragraph" w:customStyle="1" w:styleId="30">
    <w:name w:val="Основной текст (3)"/>
    <w:basedOn w:val="a"/>
    <w:link w:val="3"/>
    <w:rPr>
      <w:rFonts w:ascii="Arial" w:eastAsia="Arial" w:hAnsi="Arial" w:cs="Arial"/>
      <w:sz w:val="82"/>
      <w:szCs w:val="82"/>
      <w:lang w:val="en-US" w:eastAsia="en-US"/>
    </w:rPr>
  </w:style>
  <w:style w:type="paragraph" w:customStyle="1" w:styleId="1">
    <w:name w:val="Основной текст1"/>
    <w:basedOn w:val="a"/>
    <w:link w:val="a3"/>
    <w:pPr>
      <w:spacing w:after="100"/>
      <w:ind w:firstLine="210"/>
    </w:pPr>
    <w:rPr>
      <w:rFonts w:ascii="Times New Roman" w:eastAsia="Times New Roman" w:hAnsi="Times New Roman" w:cs="Times New Roman"/>
    </w:rPr>
  </w:style>
  <w:style w:type="paragraph" w:customStyle="1" w:styleId="20">
    <w:name w:val="Основной текст (2)"/>
    <w:basedOn w:val="a"/>
    <w:link w:val="2"/>
    <w:pPr>
      <w:spacing w:line="235" w:lineRule="auto"/>
      <w:ind w:left="2180"/>
    </w:pPr>
    <w:rPr>
      <w:rFonts w:ascii="Times New Roman" w:eastAsia="Times New Roman" w:hAnsi="Times New Roman" w:cs="Times New Roman"/>
      <w:i/>
      <w:iCs/>
      <w:sz w:val="15"/>
      <w:szCs w:val="15"/>
    </w:rPr>
  </w:style>
  <w:style w:type="paragraph" w:customStyle="1" w:styleId="a5">
    <w:name w:val="Другое"/>
    <w:basedOn w:val="a"/>
    <w:link w:val="a4"/>
    <w:pPr>
      <w:spacing w:after="100"/>
      <w:ind w:firstLine="210"/>
    </w:pPr>
    <w:rPr>
      <w:rFonts w:ascii="Times New Roman" w:eastAsia="Times New Roman" w:hAnsi="Times New Roman" w:cs="Times New Roman"/>
    </w:rPr>
  </w:style>
  <w:style w:type="character" w:customStyle="1" w:styleId="structures">
    <w:name w:val="structures"/>
    <w:basedOn w:val="a0"/>
    <w:rsid w:val="00A82573"/>
  </w:style>
  <w:style w:type="character" w:customStyle="1" w:styleId="10">
    <w:name w:val="Заголовок №1_"/>
    <w:basedOn w:val="a0"/>
    <w:link w:val="11"/>
    <w:rsid w:val="00835C97"/>
    <w:rPr>
      <w:rFonts w:ascii="Times New Roman" w:eastAsia="Times New Roman" w:hAnsi="Times New Roman" w:cs="Times New Roman"/>
      <w:b/>
      <w:bCs/>
    </w:rPr>
  </w:style>
  <w:style w:type="paragraph" w:customStyle="1" w:styleId="11">
    <w:name w:val="Заголовок №1"/>
    <w:basedOn w:val="a"/>
    <w:link w:val="10"/>
    <w:rsid w:val="00835C97"/>
    <w:pPr>
      <w:spacing w:after="180"/>
      <w:jc w:val="center"/>
      <w:outlineLvl w:val="0"/>
    </w:pPr>
    <w:rPr>
      <w:rFonts w:ascii="Times New Roman" w:eastAsia="Times New Roman" w:hAnsi="Times New Roman" w:cs="Times New Roman"/>
      <w:b/>
      <w:bCs/>
      <w:color w:val="auto"/>
    </w:rPr>
  </w:style>
  <w:style w:type="table" w:styleId="a6">
    <w:name w:val="Table Grid"/>
    <w:basedOn w:val="a1"/>
    <w:uiPriority w:val="39"/>
    <w:rsid w:val="00241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1183</Words>
  <Characters>6747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Dilorom Matkarimova</dc:creator>
  <cp:lastModifiedBy>Rahimov Xudoyberdi</cp:lastModifiedBy>
  <cp:revision>3</cp:revision>
  <dcterms:created xsi:type="dcterms:W3CDTF">2025-02-04T04:27:00Z</dcterms:created>
  <dcterms:modified xsi:type="dcterms:W3CDTF">2025-05-21T09:33:00Z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Taʼminotchi tashkilotning nomi, tashkiliy-huquqiy shakli</w:name>
    <w:value w:hidden="false">
      <w:unit w:active="false"/>
    </w:value>
  </w:element>
  <w:element w:id="8" w:kind="variable" w:type="string" w:valueMode="normal" w:required="false" w:groupID="6">
    <w:identifier xml:space="preserve">ID8</w:identifier>
    <w:name xml:space="preserve">Taʼminotchiga shartnoma tuzish huquqini beruvchi hujjat</w:name>
    <w:value w:hidden="false">
      <w:unit w:active="false"/>
    </w:value>
  </w:element>
  <w:element w:id="9" w:kind="variable" w:type="string" w:valueMode="normal" w:required="false" w:groupID="6">
    <w:identifier xml:space="preserve">ID9</w:identifier>
    <w:name xml:space="preserve">Taʼminotchi tashkilot rahbari lavozimi va F.I.Osi</w:name>
    <w:value w:hidden="false">
      <w:unit w:active="false"/>
    </w:value>
  </w:element>
  <w:element w:id="10" w:kind="variable" w:type="string" w:valueMode="normal" w:required="false" w:groupID="6">
    <w:identifier xml:space="preserve">ID10</w:identifier>
    <w:name xml:space="preserve">Xoʻjalik tashkilotning nomi, tashkiliy-huquqiy shakli</w:name>
    <w:value w:hidden="false">
      <w:unit w:active="false"/>
    </w:value>
  </w:element>
  <w:element w:id="11" w:kind="variable" w:type="string" w:valueMode="normal" w:required="false" w:groupID="6">
    <w:identifier xml:space="preserve">ID11</w:identifier>
    <w:name xml:space="preserve">Xoʻjalik shartnoma tuzish huquqini beruvchi hujjat</w:name>
    <w:value w:hidden="false">
      <w:unit w:active="false"/>
    </w:value>
  </w:element>
  <w:element w:id="12" w:kind="variable" w:type="string" w:valueMode="normal" w:required="false" w:groupID="6">
    <w:identifier xml:space="preserve">ID12</w:identifier>
    <w:name xml:space="preserve">Xoʻjalik tashkilot rahbari lavozimi va F.I.Osi</w:name>
    <w:value w:hidden="false">
      <w:unit w:active="false"/>
    </w:value>
  </w:element>
  <w:element w:id="13" w:kind="category" w:type="string" w:valueMode="normal" w:required="false" w:groupID="13">
    <w:identifier xml:space="preserve">ID13</w:identifier>
    <w:name xml:space="preserve">Shartnoma shartlari</w:name>
    <w:value w:hidden="true">
      <w:unit w:active="false"/>
    </w:value>
  </w:element>
  <w:element w:id="14" w:kind="variable" w:type="string" w:valueMode="normal" w:required="false" w:groupID="13">
    <w:identifier xml:space="preserve">ID14</w:identifier>
    <w:name xml:space="preserve">Mineral oʻgʻit nomi</w:name>
    <w:value w:hidden="false">
      <w:unit w:active="false"/>
    </w:value>
  </w:element>
  <w:element w:id="15" w:kind="variable" w:type="string" w:valueMode="normal" w:required="false" w:groupID="13">
    <w:identifier xml:space="preserve">ID15</w:identifier>
    <w:name xml:space="preserve">Tovar birligi bahosi</w:name>
    <w:value w:hidden="false">
      <w:unit w:active="false"/>
    </w:value>
  </w:element>
  <w:element w:id="16" w:kind="variable" w:type="string" w:valueMode="normal" w:required="false" w:groupID="13">
    <w:identifier xml:space="preserve">ID16</w:identifier>
    <w:name xml:space="preserve">Jami yillik miqdor</w:name>
    <w:value w:hidden="false">
      <w:unit w:active="false"/>
    </w:value>
  </w:element>
  <w:element w:id="17" w:kind="variable" w:type="string" w:valueMode="normal" w:required="false" w:groupID="13">
    <w:identifier xml:space="preserve">ID17</w:identifier>
    <w:name xml:space="preserve">Mahsulotni qabul qilib olish joyi</w:name>
    <w:value w:hidden="false">
      <w:unit w:active="false"/>
    </w:value>
  </w:element>
  <w:element w:id="18" w:kind="variable" w:type="string" w:valueMode="normal" w:required="false" w:groupID="13">
    <w:identifier xml:space="preserve">ID18</w:identifier>
    <w:name xml:space="preserve">Mahsulotning sifatini tasdiqlovchi hujjat nomi</w:name>
    <w:value w:hidden="false">
      <w:unit w:active="false"/>
    </w:value>
  </w:element>
  <w:element w:id="19" w:kind="variable" w:type="string" w:valueMode="normal" w:required="false" w:groupID="13">
    <w:identifier xml:space="preserve">ID19</w:identifier>
    <w:name xml:space="preserve">Shartnomaning umumiy bahosi</w:name>
    <w:value w:hidden="false">
      <w:unit w:active="false"/>
    </w:value>
  </w:element>
  <w:element w:id="20" w:kind="category" w:type="string" w:valueMode="normal" w:required="false" w:groupID="20">
    <w:identifier xml:space="preserve">ID20</w:identifier>
    <w:name xml:space="preserve">Taraflarning rekvizitlari</w:name>
    <w:value w:hidden="true">
      <w:unit w:active="false"/>
    </w:value>
  </w:element>
  <w:element w:id="21" w:kind="variable" w:type="string" w:valueMode="normal" w:required="false" w:groupID="20">
    <w:identifier xml:space="preserve">ID21</w:identifier>
    <w:name xml:space="preserve">Taʼminotchining yuridik manzili</w:name>
    <w:value w:hidden="false">
      <w:unit w:active="false"/>
    </w:value>
  </w:element>
  <w:element w:id="22" w:kind="variable" w:type="string" w:valueMode="normal" w:required="false" w:groupID="20">
    <w:identifier xml:space="preserve">ID22</w:identifier>
    <w:name xml:space="preserve">Taʼminotchining hisob raqami</w:name>
    <w:value w:hidden="false">
      <w:unit w:active="false"/>
    </w:value>
  </w:element>
  <w:element w:id="23" w:kind="variable" w:type="string" w:valueMode="normal" w:required="false" w:groupID="20">
    <w:identifier xml:space="preserve">ID23</w:identifier>
    <w:name xml:space="preserve">Taʼminotchining bank kodi</w:name>
    <w:value w:hidden="false">
      <w:unit w:active="false"/>
    </w:value>
  </w:element>
  <w:element w:id="24" w:kind="variable" w:type="string" w:valueMode="normal" w:required="false" w:groupID="20">
    <w:identifier xml:space="preserve">ID24</w:identifier>
    <w:name xml:space="preserve">Taʼminotchining STIR raqami</w:name>
    <w:value w:hidden="false">
      <w:unit w:active="false"/>
    </w:value>
  </w:element>
  <w:element w:id="25" w:kind="variable" w:type="string" w:valueMode="normal" w:required="false" w:groupID="20">
    <w:identifier xml:space="preserve">ID25</w:identifier>
    <w:name xml:space="preserve">Taʼminotchi bilan bogʻlanish uchun telefon raqami</w:name>
    <w:value w:hidden="false">
      <w:unit w:active="false"/>
    </w:value>
  </w:element>
  <w:element w:id="26" w:kind="variable" w:type="string" w:valueMode="normal" w:required="false" w:groupID="20">
    <w:identifier xml:space="preserve">ID26</w:identifier>
    <w:name xml:space="preserve">Xoʻjalikning yuridik manzili</w:name>
    <w:value w:hidden="false">
      <w:unit w:active="false"/>
    </w:value>
  </w:element>
  <w:element w:id="27" w:kind="variable" w:type="string" w:valueMode="normal" w:required="false" w:groupID="20">
    <w:identifier xml:space="preserve">ID27</w:identifier>
    <w:name xml:space="preserve">Xoʻjalikning hisob raqami</w:name>
    <w:value w:hidden="false">
      <w:unit w:active="false"/>
    </w:value>
  </w:element>
  <w:element w:id="28" w:kind="variable" w:type="string" w:valueMode="normal" w:required="false" w:groupID="20">
    <w:identifier xml:space="preserve">ID28</w:identifier>
    <w:name xml:space="preserve">Xoʻjalikning bank kodi</w:name>
    <w:value w:hidden="false">
      <w:unit w:active="false"/>
    </w:value>
  </w:element>
  <w:element w:id="29" w:kind="variable" w:type="string" w:valueMode="normal" w:required="false" w:groupID="20">
    <w:identifier xml:space="preserve">ID29</w:identifier>
    <w:name xml:space="preserve">Xoʻjalikning STIR raqami</w:name>
    <w:value w:hidden="false">
      <w:unit w:active="false"/>
    </w:value>
  </w:element>
  <w:element w:id="30" w:kind="variable" w:type="string" w:valueMode="normal" w:required="false" w:groupID="20">
    <w:identifier xml:space="preserve">ID30</w:identifier>
    <w:name xml:space="preserve">Xoʻjalikning telefon raqami</w:name>
    <w:value w:hidden="false">
      <w:unit w:active="false"/>
    </w:value>
  </w:element>
</w:structure>
</file>