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spacing w:after="0"/>
        <w:rPr>
          <w:color w:val="000000"/>
          <w:sz w:val="28"/>
          <w:rFonts w:ascii="Times New Roman" w:hAnsi="Times New Roman"/>
        </w:rPr>
      </w:pPr>
    </w:p>
    <w:tbl>
      <w:tblPr>
        <w:tblStyle w:val="a7"/>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03"/>
        <w:gridCol w:w="2657"/>
        <w:gridCol w:w="3594"/>
      </w:tblGrid>
      <w:tr>
        <w:tc>
          <w:tcPr>
            <w:tcW w:w="3190" w:type="dxa"/>
          </w:tcPr>
          <w:p>
            <w:pPr>
              <w:jc w:val="both"/>
              <w:rPr>
                <w:color w:val="000000"/>
                <w:sz w:val="28"/>
                <w:rFonts w:ascii="Times New Roman" w:hAnsi="Times New Roman"/>
              </w:rPr>
            </w:pPr>
          </w:p>
        </w:tc>
        <w:tc>
          <w:tcPr>
            <w:tcW w:w="2730" w:type="dxa"/>
          </w:tcPr>
          <w:p>
            <w:pPr>
              <w:jc w:val="both"/>
              <w:rPr>
                <w:color w:val="000000"/>
                <w:sz w:val="28"/>
                <w:rFonts w:ascii="Times New Roman" w:hAnsi="Times New Roman"/>
              </w:rPr>
            </w:pPr>
          </w:p>
        </w:tc>
        <w:tc>
          <w:tcPr>
            <w:tcW w:w="3650" w:type="dxa"/>
          </w:tcPr>
          <w:p>
            <w:pPr>
              <w:jc w:val="both"/>
              <w:rPr>
                <w:b/>
                <w:sz w:val="28"/>
                <w:rFonts w:ascii="Times New Roman" w:hAnsi="Times New Roman"/>
              </w:rPr>
            </w:pPr>
            <w:r>
              <w:rPr>
                <w:b/>
                <w:sz w:val="28"/>
                <w:rFonts w:ascii="Times New Roman" w:hAnsi="Times New Roman"/>
              </w:rPr>
              <w:t xml:space="preserve">Iqtisodiy ishlar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Iltimosnoma berilgan iqtisodiy sud nomi</w:t>
              <w:fldChar w:fldCharType="end"/>
            </w:r>
            <w:r>
              <w:rPr>
                <w:b/>
                <w:sz w:val="28"/>
                <w:rFonts w:ascii="Times New Roman" w:hAnsi="Times New Roman"/>
              </w:rPr>
              <w:t xml:space="preserve"> sudiga</w:t>
            </w:r>
          </w:p>
        </w:tc>
      </w:tr>
      <w:tr>
        <w:tc>
          <w:tcPr>
            <w:tcW w:w="3190" w:type="dxa"/>
          </w:tcPr>
          <w:p>
            <w:pPr>
              <w:jc w:val="both"/>
              <w:rPr>
                <w:color w:val="000000"/>
                <w:sz w:val="28"/>
                <w:rFonts w:ascii="Times New Roman" w:hAnsi="Times New Roman"/>
              </w:rPr>
            </w:pPr>
          </w:p>
        </w:tc>
        <w:tc>
          <w:tcPr>
            <w:tcW w:w="2730" w:type="dxa"/>
          </w:tcPr>
          <w:p>
            <w:pPr>
              <w:jc w:val="both"/>
              <w:rPr>
                <w:color w:val="000000"/>
                <w:sz w:val="28"/>
                <w:rFonts w:ascii="Times New Roman" w:hAnsi="Times New Roman"/>
              </w:rPr>
            </w:pPr>
          </w:p>
        </w:tc>
        <w:tc>
          <w:tcPr>
            <w:tcW w:w="3650" w:type="dxa"/>
          </w:tcPr>
          <w:p>
            <w:pPr>
              <w:jc w:val="both"/>
              <w:rPr>
                <w:color w:val="000000"/>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Iltimosnoma beruvchi yuridik shaxsning nomi va tashkiliy huquqiy shakli</w:t>
              <w:fldChar w:fldCharType="end"/>
            </w:r>
          </w:p>
        </w:tc>
      </w:tr>
      <w:tr>
        <w:tc>
          <w:tcPr>
            <w:tcW w:w="3190" w:type="dxa"/>
          </w:tcPr>
          <w:p>
            <w:pPr>
              <w:jc w:val="both"/>
              <w:rPr>
                <w:color w:val="000000"/>
                <w:sz w:val="28"/>
                <w:rFonts w:ascii="Times New Roman" w:hAnsi="Times New Roman"/>
              </w:rPr>
            </w:pPr>
          </w:p>
        </w:tc>
        <w:tc>
          <w:tcPr>
            <w:tcW w:w="2730" w:type="dxa"/>
          </w:tcPr>
          <w:p>
            <w:pPr>
              <w:jc w:val="both"/>
              <w:rPr>
                <w:color w:val="000000"/>
                <w:sz w:val="28"/>
                <w:rFonts w:ascii="Times New Roman" w:hAnsi="Times New Roman"/>
              </w:rPr>
            </w:pPr>
          </w:p>
        </w:tc>
        <w:tc>
          <w:tcPr>
            <w:tcW w:w="3650" w:type="dxa"/>
          </w:tcPr>
          <w:p>
            <w:pPr>
              <w:jc w:val="both"/>
              <w:rPr>
                <w:b/>
                <w:sz w:val="28"/>
                <w:rFonts w:ascii="Times New Roman" w:hAnsi="Times New Roman"/>
              </w:rPr>
            </w:pPr>
            <w:r>
              <w:rPr>
                <w:b/>
                <w:sz w:val="28"/>
                <w:rFonts w:ascii="Times New Roman" w:hAnsi="Times New Roman"/>
              </w:rPr>
              <w:t xml:space="preserve">Manzil: </w:t>
            </w: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Iltimosnoma beruvchi yuridik shaxsning yuridik manzili</w:t>
              <w:fldChar w:fldCharType="end"/>
            </w:r>
          </w:p>
          <w:p>
            <w:pPr>
              <w:jc w:val="both"/>
              <w:rPr>
                <w:color w:val="000000"/>
                <w:sz w:val="28"/>
                <w:rFonts w:ascii="Times New Roman" w:hAnsi="Times New Roman"/>
              </w:rPr>
            </w:pPr>
          </w:p>
        </w:tc>
      </w:tr>
    </w:tbl>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 xml:space="preserve">A R I Z A</w:t>
      </w:r>
    </w:p>
    <w:p>
      <w:pPr>
        <w:jc w:val="center"/>
        <w:spacing w:after="0"/>
        <w:rPr>
          <w:sz w:val="28"/>
          <w:rFonts w:ascii="Times New Roman" w:hAnsi="Times New Roman"/>
        </w:rPr>
      </w:pPr>
      <w:r>
        <w:rPr>
          <w:sz w:val="28"/>
          <w:rFonts w:ascii="Times New Roman" w:hAnsi="Times New Roman"/>
        </w:rPr>
        <w:t xml:space="preserve">Qo‘shimcha ekspertiza tayinlash haqida</w:t>
      </w:r>
    </w:p>
    <w:p>
      <w:pPr>
        <w:jc w:val="center"/>
        <w:spacing w:after="0"/>
        <w:rPr>
          <w:sz w:val="28"/>
          <w:rFonts w:ascii="Times New Roman" w:hAnsi="Times New Roman"/>
        </w:rPr>
      </w:pPr>
    </w:p>
    <w:p>
      <w:pPr>
        <w:pStyle w:val="a4"/>
        <w:jc w:val="both"/>
        <w:ind w:firstLine="851"/>
        <w:spacing w:after="0"/>
        <w:rPr>
          <w:sz w:val="28"/>
          <w:rFonts w:ascii="Times New Roman" w:hAnsi="Times New Roman"/>
        </w:rPr>
      </w:pPr>
      <w:r>
        <w:rPr>
          <w:sz w:val="28"/>
          <w:rFonts w:ascii="Times New Roman" w:hAnsi="Times New Roman"/>
        </w:rPr>
        <w:t xml:space="preserve">Iqtisodiy ishlar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Iltimosnoma berilgan iqtisodiy sud nomi</w:t>
        <w:fldChar w:fldCharType="end"/>
      </w:r>
      <w:r>
        <w:rPr>
          <w:sz w:val="28"/>
          <w:rFonts w:ascii="Times New Roman" w:hAnsi="Times New Roman"/>
        </w:rPr>
        <w:t xml:space="preserve"> sudi tomonidan da’vogar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Ish bo‘yicha da’vogarning F.I.O.si</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javobgarning F.I.O.si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yuzasidan yuritilayotgan iqtisodiy ish ko‘rib chiqilmoqda.</w:t>
      </w:r>
    </w:p>
    <w:p>
      <w:pPr>
        <w:pStyle w:val="a4"/>
        <w:jc w:val="both"/>
        <w:ind w:firstLine="851"/>
        <w:spacing w:after="0"/>
        <w:rPr>
          <w:sz w:val="28"/>
          <w:rFonts w:ascii="Times New Roman" w:hAnsi="Times New Roman"/>
        </w:rPr>
      </w:pPr>
      <w:r>
        <w:rPr>
          <w:sz w:val="28"/>
          <w:rFonts w:ascii="Times New Roman" w:hAnsi="Times New Roman"/>
        </w:rPr>
        <w:t xml:space="preserve">Mazkur ish bo‘yicha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Ekspertiza tayinlangan sana</w:t>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Tayinlangan ekspertiza turi</w:t>
        <w:fldChar w:fldCharType="end"/>
      </w:r>
      <w:r>
        <w:rPr>
          <w:sz w:val="28"/>
          <w:rFonts w:ascii="Times New Roman" w:hAnsi="Times New Roman"/>
        </w:rPr>
        <w:t xml:space="preserve"> ekspertizasi tayinlangan. Mazkur ekspertiza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Ekspertiza xulosasi berilgan sana</w:t>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Ekspertiza xulosaning mazmuni</w:t>
        <w:fldChar w:fldCharType="end"/>
      </w:r>
      <w:r>
        <w:rPr>
          <w:sz w:val="28"/>
          <w:rFonts w:ascii="Times New Roman" w:hAnsi="Times New Roman"/>
        </w:rPr>
        <w:t xml:space="preserve"> to‘g‘risida xulosa bergan. </w:t>
      </w:r>
    </w:p>
    <w:p>
      <w:pPr>
        <w:pStyle w:val="a4"/>
        <w:jc w:val="both"/>
        <w:ind w:firstLine="851"/>
        <w:spacing w:after="0"/>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Iltimosnoma beruvchi ekspertiza xulosasini asossiz deb hisoblashining sabablari</w:t>
        <w:fldChar w:fldCharType="end"/>
      </w:r>
      <w:r>
        <w:rPr>
          <w:sz w:val="28"/>
          <w:rFonts w:ascii="Times New Roman" w:hAnsi="Times New Roman"/>
        </w:rPr>
        <w:t xml:space="preserve"> sabablarga ko‘ra mazkur xulosani asossiz deb hisoblayman. Shu sababli ushbu ish bo‘yicha qo‘shimcha ekspertiza tayinlash maqsadga muvofiq.</w:t>
      </w:r>
    </w:p>
    <w:p>
      <w:pPr>
        <w:jc w:val="both"/>
        <w:ind w:firstLine="851"/>
        <w:spacing w:after="0"/>
        <w:rPr>
          <w:sz w:val="28"/>
          <w:rFonts w:ascii="Times New Roman" w:hAnsi="Times New Roman"/>
        </w:rPr>
      </w:pPr>
      <w:r>
        <w:rPr>
          <w:sz w:val="28"/>
          <w:rFonts w:ascii="Times New Roman" w:hAnsi="Times New Roman"/>
        </w:rPr>
        <w:t xml:space="preserve">O‘zbekiston Respublikasi Iqtisodiy protsessual Kodeksining 80-moddasiga ko‘ra, ishni ko‘rish vaqtida yuzaga keladigan, fan, texnika, san’at yoki hunar sohasida maxsus bilimlarni talab qiladigan masalalarni tushuntirib berish uchun sud ishda ishtirok etuvchi shaxslarning iltimosnomasiga ko‘ra yoki roziligi bilan ekspertiza tayinlaydi. Agar ekspertizani tayinlash qonunda belgilab qo‘yilgan yoki shartnomada nazarda tutilgan bo‘lsa yoxud taqdim etilgan dalilning qalbakilashtirilganligi to‘g‘risidagi arizani tekshirish yoxud qo‘shimcha ekspertiza tayinlash zarur bo‘lsa, sud ekspertizani o‘z tashabbusi bilan tayinlashi mumkin.</w:t>
      </w:r>
    </w:p>
    <w:p>
      <w:pPr>
        <w:jc w:val="both"/>
        <w:ind w:firstLine="851"/>
        <w:spacing w:after="0"/>
        <w:rPr>
          <w:color w:val="000000"/>
          <w:sz w:val="28"/>
          <w:rFonts w:ascii="Times New Roman" w:hAnsi="Times New Roman"/>
        </w:rPr>
      </w:pPr>
      <w:r>
        <w:rPr>
          <w:rStyle w:val="clauseprfx"/>
          <w:color w:val="000000"/>
          <w:sz w:val="28"/>
          <w:rFonts w:ascii="Times New Roman" w:hAnsi="Times New Roman"/>
        </w:rPr>
        <w:t xml:space="preserve">Mazkur Kodeksning 82-moddasiga ko‘ra, q</w:t>
      </w:r>
      <w:r>
        <w:rPr>
          <w:color w:val="000000"/>
          <w:sz w:val="28"/>
          <w:rFonts w:ascii="Times New Roman" w:hAnsi="Times New Roman"/>
        </w:rPr>
        <w:t xml:space="preserve">o‘shimcha ekspertiza ekspert (ekspertlar komissiyasi) xulosasidagi bo‘shliqlarni to‘ldirish uchun tayinlanadi va shu yoki boshqa ekspert (ekspertlar komissiyasi) tomonidan o‘tkaziladi. Ekspert (ekspertlar komissiyasi) xulosasi asoslanmagan bo‘lsa yoki uning to‘g‘riligiga shubha tug‘ilganda yoxud unga asos qilib olingan dalillar ishonchli emas deb topilganda yoki ekspertizani o‘tkazishning protsessual qoidalari jiddiy buzilganda takroriy ekspertiza tayinlanadi.</w:t>
      </w:r>
    </w:p>
    <w:p>
      <w:pPr>
        <w:pStyle w:val="a4"/>
        <w:jc w:val="both"/>
        <w:ind w:firstLine="851"/>
        <w:spacing w:after="0"/>
        <w:rPr>
          <w:b/>
          <w:sz w:val="28"/>
          <w:rFonts w:ascii="Times New Roman" w:hAnsi="Times New Roman"/>
        </w:rPr>
      </w:pPr>
      <w:r>
        <w:rPr>
          <w:sz w:val="28"/>
          <w:rFonts w:ascii="Times New Roman" w:hAnsi="Times New Roman"/>
        </w:rPr>
        <w:t xml:space="preserve">O‘zbekiston Respublikasi Iqtisodiy protsessual Kodeksining 80-86-moddalariga “Sud ekspertizasi to‘g‘risida»gi Qonunining 19-moddasiga asosan,</w:t>
      </w: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spacing w:after="0"/>
        <w:rPr>
          <w:sz w:val="28"/>
          <w:rFonts w:ascii="Times New Roman" w:hAnsi="Times New Roman"/>
        </w:rPr>
      </w:pPr>
      <w:r>
        <w:rPr>
          <w:color w:val="ff0000"/>
          <w:sz w:val="28"/>
          <w:rFonts w:ascii="Times New Roman" w:hAnsi="Times New Roman"/>
        </w:rPr>
        <w:tab/>
      </w:r>
      <w:r>
        <w:rPr>
          <w:sz w:val="28"/>
          <w:rFonts w:ascii="Times New Roman" w:hAnsi="Times New Roman"/>
        </w:rPr>
        <w:t xml:space="preserve">Mazkur iqtisodiy ish bo‘yicha qo‘shimcha ekspertiza tayinlashingizni.</w:t>
      </w:r>
    </w:p>
    <w:p>
      <w:pPr>
        <w:pStyle w:val="ConsPlusNonformat"/>
        <w:jc w:val="both"/>
        <w:ind w:firstLine="709"/>
        <w:spacing w:line="276" w:lineRule="auto"/>
        <w:rPr>
          <w:b/>
          <w:sz w:val="28"/>
          <w:rFonts w:ascii="Times New Roman" w:hAnsi="Times New Roman"/>
        </w:rPr>
      </w:pPr>
    </w:p>
    <w:p>
      <w:pPr>
        <w:pStyle w:val="ConsPlusNonformat"/>
        <w:jc w:val="both"/>
        <w:ind w:firstLine="709"/>
        <w:spacing w:line="276" w:lineRule="auto"/>
        <w:rPr>
          <w:sz w:val="28"/>
          <w:rFonts w:ascii="Times New Roman" w:hAnsi="Times New Roman"/>
        </w:rPr>
      </w:pPr>
      <w:r>
        <w:rPr>
          <w:b/>
          <w:sz w:val="28"/>
          <w:rFonts w:ascii="Times New Roman" w:hAnsi="Times New Roman"/>
        </w:rPr>
        <w:t xml:space="preserve">Ilova: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Iltimosnomaga ilova qilingan hujjatlar ro‘yxati</w:t>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Iltimosnoma beruvchi yuridik shaxsning nomi va tashkiliy huquqiy shakli</w:t>
        <w:fldChar w:fldCharType="end"/>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Iltimosnoma berilgan sana</w:t>
        <w:fldChar w:fldCharType="end"/>
      </w: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8F"/>
    <w:rsid w:val="00077B4E"/>
    <w:rsid w:val="00095483"/>
    <w:rsid w:val="000A663C"/>
    <w:rsid w:val="00113036"/>
    <w:rsid w:val="00172B51"/>
    <w:rsid w:val="001C1B2C"/>
    <w:rsid w:val="00245740"/>
    <w:rsid w:val="0026236E"/>
    <w:rsid w:val="00275BBB"/>
    <w:rsid w:val="002A429F"/>
    <w:rsid w:val="002D3C34"/>
    <w:rsid w:val="002F1112"/>
    <w:rsid w:val="00363C25"/>
    <w:rsid w:val="00367CAF"/>
    <w:rsid w:val="003C156A"/>
    <w:rsid w:val="003D2F2B"/>
    <w:rsid w:val="00416806"/>
    <w:rsid w:val="004246AE"/>
    <w:rsid w:val="0043082E"/>
    <w:rsid w:val="004379FA"/>
    <w:rsid w:val="004547D8"/>
    <w:rsid w:val="004718BA"/>
    <w:rsid w:val="00482439"/>
    <w:rsid w:val="004D5871"/>
    <w:rsid w:val="004E131E"/>
    <w:rsid w:val="004E6318"/>
    <w:rsid w:val="00504A96"/>
    <w:rsid w:val="00582785"/>
    <w:rsid w:val="00587D32"/>
    <w:rsid w:val="005D7239"/>
    <w:rsid w:val="00630754"/>
    <w:rsid w:val="00651FF4"/>
    <w:rsid w:val="00667A14"/>
    <w:rsid w:val="006718D3"/>
    <w:rsid w:val="006D50F3"/>
    <w:rsid w:val="006E242D"/>
    <w:rsid w:val="00731279"/>
    <w:rsid w:val="00745300"/>
    <w:rsid w:val="0075215D"/>
    <w:rsid w:val="00760909"/>
    <w:rsid w:val="00792422"/>
    <w:rsid w:val="007A1BC4"/>
    <w:rsid w:val="007C4520"/>
    <w:rsid w:val="007E2A31"/>
    <w:rsid w:val="00836C02"/>
    <w:rsid w:val="008A5F9D"/>
    <w:rsid w:val="008B404F"/>
    <w:rsid w:val="008B61DC"/>
    <w:rsid w:val="008C66B1"/>
    <w:rsid w:val="008E3028"/>
    <w:rsid w:val="008E721C"/>
    <w:rsid w:val="008F1313"/>
    <w:rsid w:val="008F1F90"/>
    <w:rsid w:val="009207E1"/>
    <w:rsid w:val="00920972"/>
    <w:rsid w:val="0094025E"/>
    <w:rsid w:val="00945406"/>
    <w:rsid w:val="009C4D18"/>
    <w:rsid w:val="009D67EB"/>
    <w:rsid w:val="009E4CFF"/>
    <w:rsid w:val="00A311E4"/>
    <w:rsid w:val="00A47D55"/>
    <w:rsid w:val="00A51571"/>
    <w:rsid w:val="00A629B1"/>
    <w:rsid w:val="00A82AF4"/>
    <w:rsid w:val="00A91547"/>
    <w:rsid w:val="00A91D33"/>
    <w:rsid w:val="00AB2974"/>
    <w:rsid w:val="00AE38F3"/>
    <w:rsid w:val="00B026D6"/>
    <w:rsid w:val="00B36514"/>
    <w:rsid w:val="00B63C81"/>
    <w:rsid w:val="00BC4A24"/>
    <w:rsid w:val="00BF00C5"/>
    <w:rsid w:val="00BF396E"/>
    <w:rsid w:val="00BF76A1"/>
    <w:rsid w:val="00C06CCB"/>
    <w:rsid w:val="00C55C6C"/>
    <w:rsid w:val="00C72501"/>
    <w:rsid w:val="00C8356F"/>
    <w:rsid w:val="00CC19A1"/>
    <w:rsid w:val="00CE5B81"/>
    <w:rsid w:val="00D0568F"/>
    <w:rsid w:val="00D109F1"/>
    <w:rsid w:val="00DD3B91"/>
    <w:rsid w:val="00E85A4C"/>
    <w:rsid w:val="00F06E96"/>
    <w:rsid w:val="00F06F0E"/>
    <w:rsid w:val="00F76DC7"/>
    <w:rsid w:val="00F9417F"/>
    <w:rsid w:val="00FA34CC"/>
    <w:rsid w:val="00FB293F"/>
    <w:rsid w:val="00FC2036"/>
    <w:rsid w:val="00FF12E8"/>
    <w:rsid w:val="00FF4A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38EC1"/>
  <w15:docId w15:val="{FDF97EED-F89C-47B3-9634-5EA589461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3C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paragraph" w:styleId="a4">
    <w:name w:val="Body Text"/>
    <w:basedOn w:val="a"/>
    <w:link w:val="a5"/>
    <w:rsid w:val="008C66B1"/>
    <w:pPr>
      <w:suppressAutoHyphens/>
      <w:spacing w:after="120"/>
    </w:pPr>
    <w:rPr>
      <w:rFonts w:ascii="Calibri" w:eastAsia="Calibri" w:hAnsi="Calibri" w:cs="Times New Roman"/>
      <w:lang w:eastAsia="zh-CN"/>
    </w:rPr>
  </w:style>
  <w:style w:type="character" w:customStyle="1" w:styleId="a5">
    <w:name w:val="Основной текст Знак"/>
    <w:basedOn w:val="a0"/>
    <w:link w:val="a4"/>
    <w:rsid w:val="008C66B1"/>
    <w:rPr>
      <w:rFonts w:ascii="Calibri" w:eastAsia="Calibri" w:hAnsi="Calibri" w:cs="Times New Roman"/>
      <w:lang w:eastAsia="zh-CN"/>
    </w:rPr>
  </w:style>
  <w:style w:type="character" w:customStyle="1" w:styleId="clauseprfx">
    <w:name w:val="clauseprfx"/>
    <w:basedOn w:val="a0"/>
    <w:rsid w:val="001C1B2C"/>
  </w:style>
  <w:style w:type="character" w:customStyle="1" w:styleId="clausesuff">
    <w:name w:val="clausesuff"/>
    <w:basedOn w:val="a0"/>
    <w:rsid w:val="001C1B2C"/>
  </w:style>
  <w:style w:type="paragraph" w:customStyle="1" w:styleId="ConsPlusNonformat">
    <w:name w:val="ConsPlusNonformat"/>
    <w:uiPriority w:val="99"/>
    <w:rsid w:val="008F1F90"/>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6">
    <w:name w:val="Hyperlink"/>
    <w:basedOn w:val="a0"/>
    <w:uiPriority w:val="99"/>
    <w:semiHidden/>
    <w:unhideWhenUsed/>
    <w:rsid w:val="00B026D6"/>
    <w:rPr>
      <w:color w:val="0000FF"/>
      <w:u w:val="single"/>
    </w:rPr>
  </w:style>
  <w:style w:type="table" w:styleId="a7">
    <w:name w:val="Table Grid"/>
    <w:basedOn w:val="a1"/>
    <w:uiPriority w:val="59"/>
    <w:rsid w:val="00A915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35051">
      <w:bodyDiv w:val="1"/>
      <w:marLeft w:val="0"/>
      <w:marRight w:val="0"/>
      <w:marTop w:val="0"/>
      <w:marBottom w:val="0"/>
      <w:divBdr>
        <w:top w:val="none" w:sz="0" w:space="0" w:color="auto"/>
        <w:left w:val="none" w:sz="0" w:space="0" w:color="auto"/>
        <w:bottom w:val="none" w:sz="0" w:space="0" w:color="auto"/>
        <w:right w:val="none" w:sz="0" w:space="0" w:color="auto"/>
      </w:divBdr>
      <w:divsChild>
        <w:div w:id="1317566077">
          <w:marLeft w:val="0"/>
          <w:marRight w:val="0"/>
          <w:marTop w:val="120"/>
          <w:marBottom w:val="120"/>
          <w:divBdr>
            <w:top w:val="none" w:sz="0" w:space="0" w:color="auto"/>
            <w:left w:val="none" w:sz="0" w:space="0" w:color="auto"/>
            <w:bottom w:val="none" w:sz="0" w:space="0" w:color="auto"/>
            <w:right w:val="none" w:sz="0" w:space="0" w:color="auto"/>
          </w:divBdr>
        </w:div>
        <w:div w:id="1296637462">
          <w:marLeft w:val="0"/>
          <w:marRight w:val="0"/>
          <w:marTop w:val="0"/>
          <w:marBottom w:val="150"/>
          <w:divBdr>
            <w:top w:val="none" w:sz="0" w:space="0" w:color="auto"/>
            <w:left w:val="none" w:sz="0" w:space="0" w:color="auto"/>
            <w:bottom w:val="none" w:sz="0" w:space="0" w:color="auto"/>
            <w:right w:val="none" w:sz="0" w:space="0" w:color="auto"/>
          </w:divBdr>
        </w:div>
        <w:div w:id="234125215">
          <w:marLeft w:val="0"/>
          <w:marRight w:val="0"/>
          <w:marTop w:val="60"/>
          <w:marBottom w:val="60"/>
          <w:divBdr>
            <w:top w:val="none" w:sz="0" w:space="0" w:color="auto"/>
            <w:left w:val="none" w:sz="0" w:space="0" w:color="auto"/>
            <w:bottom w:val="none" w:sz="0" w:space="0" w:color="auto"/>
            <w:right w:val="none" w:sz="0" w:space="0" w:color="auto"/>
          </w:divBdr>
          <w:divsChild>
            <w:div w:id="1382434771">
              <w:marLeft w:val="0"/>
              <w:marRight w:val="0"/>
              <w:marTop w:val="0"/>
              <w:marBottom w:val="0"/>
              <w:divBdr>
                <w:top w:val="none" w:sz="0" w:space="0" w:color="auto"/>
                <w:left w:val="none" w:sz="0" w:space="0" w:color="auto"/>
                <w:bottom w:val="none" w:sz="0" w:space="0" w:color="auto"/>
                <w:right w:val="none" w:sz="0" w:space="0" w:color="auto"/>
              </w:divBdr>
            </w:div>
          </w:divsChild>
        </w:div>
        <w:div w:id="1009941685">
          <w:marLeft w:val="0"/>
          <w:marRight w:val="0"/>
          <w:marTop w:val="60"/>
          <w:marBottom w:val="60"/>
          <w:divBdr>
            <w:top w:val="none" w:sz="0" w:space="0" w:color="auto"/>
            <w:left w:val="none" w:sz="0" w:space="0" w:color="auto"/>
            <w:bottom w:val="none" w:sz="0" w:space="0" w:color="auto"/>
            <w:right w:val="none" w:sz="0" w:space="0" w:color="auto"/>
          </w:divBdr>
        </w:div>
        <w:div w:id="1604604570">
          <w:marLeft w:val="0"/>
          <w:marRight w:val="0"/>
          <w:marTop w:val="0"/>
          <w:marBottom w:val="150"/>
          <w:divBdr>
            <w:top w:val="none" w:sz="0" w:space="0" w:color="auto"/>
            <w:left w:val="none" w:sz="0" w:space="0" w:color="auto"/>
            <w:bottom w:val="none" w:sz="0" w:space="0" w:color="auto"/>
            <w:right w:val="none" w:sz="0" w:space="0" w:color="auto"/>
          </w:divBdr>
        </w:div>
      </w:divsChild>
    </w:div>
    <w:div w:id="187723231">
      <w:bodyDiv w:val="1"/>
      <w:marLeft w:val="0"/>
      <w:marRight w:val="0"/>
      <w:marTop w:val="0"/>
      <w:marBottom w:val="0"/>
      <w:divBdr>
        <w:top w:val="none" w:sz="0" w:space="0" w:color="auto"/>
        <w:left w:val="none" w:sz="0" w:space="0" w:color="auto"/>
        <w:bottom w:val="none" w:sz="0" w:space="0" w:color="auto"/>
        <w:right w:val="none" w:sz="0" w:space="0" w:color="auto"/>
      </w:divBdr>
      <w:divsChild>
        <w:div w:id="1882740532">
          <w:marLeft w:val="0"/>
          <w:marRight w:val="0"/>
          <w:marTop w:val="120"/>
          <w:marBottom w:val="120"/>
          <w:divBdr>
            <w:top w:val="none" w:sz="0" w:space="0" w:color="auto"/>
            <w:left w:val="none" w:sz="0" w:space="0" w:color="auto"/>
            <w:bottom w:val="none" w:sz="0" w:space="0" w:color="auto"/>
            <w:right w:val="none" w:sz="0" w:space="0" w:color="auto"/>
          </w:divBdr>
        </w:div>
        <w:div w:id="302007746">
          <w:marLeft w:val="0"/>
          <w:marRight w:val="0"/>
          <w:marTop w:val="0"/>
          <w:marBottom w:val="150"/>
          <w:divBdr>
            <w:top w:val="none" w:sz="0" w:space="0" w:color="auto"/>
            <w:left w:val="none" w:sz="0" w:space="0" w:color="auto"/>
            <w:bottom w:val="none" w:sz="0" w:space="0" w:color="auto"/>
            <w:right w:val="none" w:sz="0" w:space="0" w:color="auto"/>
          </w:divBdr>
        </w:div>
        <w:div w:id="1190483728">
          <w:marLeft w:val="0"/>
          <w:marRight w:val="0"/>
          <w:marTop w:val="0"/>
          <w:marBottom w:val="150"/>
          <w:divBdr>
            <w:top w:val="none" w:sz="0" w:space="0" w:color="auto"/>
            <w:left w:val="none" w:sz="0" w:space="0" w:color="auto"/>
            <w:bottom w:val="none" w:sz="0" w:space="0" w:color="auto"/>
            <w:right w:val="none" w:sz="0" w:space="0" w:color="auto"/>
          </w:divBdr>
        </w:div>
        <w:div w:id="550969172">
          <w:marLeft w:val="0"/>
          <w:marRight w:val="0"/>
          <w:marTop w:val="0"/>
          <w:marBottom w:val="150"/>
          <w:divBdr>
            <w:top w:val="none" w:sz="0" w:space="0" w:color="auto"/>
            <w:left w:val="none" w:sz="0" w:space="0" w:color="auto"/>
            <w:bottom w:val="none" w:sz="0" w:space="0" w:color="auto"/>
            <w:right w:val="none" w:sz="0" w:space="0" w:color="auto"/>
          </w:divBdr>
        </w:div>
        <w:div w:id="1767382420">
          <w:marLeft w:val="0"/>
          <w:marRight w:val="0"/>
          <w:marTop w:val="0"/>
          <w:marBottom w:val="150"/>
          <w:divBdr>
            <w:top w:val="none" w:sz="0" w:space="0" w:color="auto"/>
            <w:left w:val="none" w:sz="0" w:space="0" w:color="auto"/>
            <w:bottom w:val="none" w:sz="0" w:space="0" w:color="auto"/>
            <w:right w:val="none" w:sz="0" w:space="0" w:color="auto"/>
          </w:divBdr>
        </w:div>
        <w:div w:id="1435444460">
          <w:marLeft w:val="0"/>
          <w:marRight w:val="0"/>
          <w:marTop w:val="0"/>
          <w:marBottom w:val="150"/>
          <w:divBdr>
            <w:top w:val="none" w:sz="0" w:space="0" w:color="auto"/>
            <w:left w:val="none" w:sz="0" w:space="0" w:color="auto"/>
            <w:bottom w:val="none" w:sz="0" w:space="0" w:color="auto"/>
            <w:right w:val="none" w:sz="0" w:space="0" w:color="auto"/>
          </w:divBdr>
        </w:div>
      </w:divsChild>
    </w:div>
    <w:div w:id="478882822">
      <w:bodyDiv w:val="1"/>
      <w:marLeft w:val="0"/>
      <w:marRight w:val="0"/>
      <w:marTop w:val="0"/>
      <w:marBottom w:val="0"/>
      <w:divBdr>
        <w:top w:val="none" w:sz="0" w:space="0" w:color="auto"/>
        <w:left w:val="none" w:sz="0" w:space="0" w:color="auto"/>
        <w:bottom w:val="none" w:sz="0" w:space="0" w:color="auto"/>
        <w:right w:val="none" w:sz="0" w:space="0" w:color="auto"/>
      </w:divBdr>
      <w:divsChild>
        <w:div w:id="1531140633">
          <w:marLeft w:val="0"/>
          <w:marRight w:val="0"/>
          <w:marTop w:val="0"/>
          <w:marBottom w:val="150"/>
          <w:divBdr>
            <w:top w:val="none" w:sz="0" w:space="0" w:color="auto"/>
            <w:left w:val="none" w:sz="0" w:space="0" w:color="auto"/>
            <w:bottom w:val="none" w:sz="0" w:space="0" w:color="auto"/>
            <w:right w:val="none" w:sz="0" w:space="0" w:color="auto"/>
          </w:divBdr>
        </w:div>
        <w:div w:id="626738428">
          <w:marLeft w:val="0"/>
          <w:marRight w:val="0"/>
          <w:marTop w:val="0"/>
          <w:marBottom w:val="150"/>
          <w:divBdr>
            <w:top w:val="none" w:sz="0" w:space="0" w:color="auto"/>
            <w:left w:val="none" w:sz="0" w:space="0" w:color="auto"/>
            <w:bottom w:val="none" w:sz="0" w:space="0" w:color="auto"/>
            <w:right w:val="none" w:sz="0" w:space="0" w:color="auto"/>
          </w:divBdr>
        </w:div>
        <w:div w:id="393700850">
          <w:marLeft w:val="0"/>
          <w:marRight w:val="0"/>
          <w:marTop w:val="0"/>
          <w:marBottom w:val="150"/>
          <w:divBdr>
            <w:top w:val="none" w:sz="0" w:space="0" w:color="auto"/>
            <w:left w:val="none" w:sz="0" w:space="0" w:color="auto"/>
            <w:bottom w:val="none" w:sz="0" w:space="0" w:color="auto"/>
            <w:right w:val="none" w:sz="0" w:space="0" w:color="auto"/>
          </w:divBdr>
        </w:div>
        <w:div w:id="153960677">
          <w:marLeft w:val="0"/>
          <w:marRight w:val="0"/>
          <w:marTop w:val="0"/>
          <w:marBottom w:val="150"/>
          <w:divBdr>
            <w:top w:val="none" w:sz="0" w:space="0" w:color="auto"/>
            <w:left w:val="none" w:sz="0" w:space="0" w:color="auto"/>
            <w:bottom w:val="none" w:sz="0" w:space="0" w:color="auto"/>
            <w:right w:val="none" w:sz="0" w:space="0" w:color="auto"/>
          </w:divBdr>
        </w:div>
      </w:divsChild>
    </w:div>
    <w:div w:id="1621259370">
      <w:bodyDiv w:val="1"/>
      <w:marLeft w:val="0"/>
      <w:marRight w:val="0"/>
      <w:marTop w:val="0"/>
      <w:marBottom w:val="0"/>
      <w:divBdr>
        <w:top w:val="none" w:sz="0" w:space="0" w:color="auto"/>
        <w:left w:val="none" w:sz="0" w:space="0" w:color="auto"/>
        <w:bottom w:val="none" w:sz="0" w:space="0" w:color="auto"/>
        <w:right w:val="none" w:sz="0" w:space="0" w:color="auto"/>
      </w:divBdr>
      <w:divsChild>
        <w:div w:id="1230768987">
          <w:marLeft w:val="0"/>
          <w:marRight w:val="0"/>
          <w:marTop w:val="120"/>
          <w:marBottom w:val="120"/>
          <w:divBdr>
            <w:top w:val="none" w:sz="0" w:space="0" w:color="auto"/>
            <w:left w:val="none" w:sz="0" w:space="0" w:color="auto"/>
            <w:bottom w:val="none" w:sz="0" w:space="0" w:color="auto"/>
            <w:right w:val="none" w:sz="0" w:space="0" w:color="auto"/>
          </w:divBdr>
        </w:div>
        <w:div w:id="593126982">
          <w:marLeft w:val="0"/>
          <w:marRight w:val="0"/>
          <w:marTop w:val="0"/>
          <w:marBottom w:val="150"/>
          <w:divBdr>
            <w:top w:val="none" w:sz="0" w:space="0" w:color="auto"/>
            <w:left w:val="none" w:sz="0" w:space="0" w:color="auto"/>
            <w:bottom w:val="none" w:sz="0" w:space="0" w:color="auto"/>
            <w:right w:val="none" w:sz="0" w:space="0" w:color="auto"/>
          </w:divBdr>
        </w:div>
        <w:div w:id="656807445">
          <w:marLeft w:val="0"/>
          <w:marRight w:val="0"/>
          <w:marTop w:val="60"/>
          <w:marBottom w:val="60"/>
          <w:divBdr>
            <w:top w:val="none" w:sz="0" w:space="0" w:color="auto"/>
            <w:left w:val="none" w:sz="0" w:space="0" w:color="auto"/>
            <w:bottom w:val="none" w:sz="0" w:space="0" w:color="auto"/>
            <w:right w:val="none" w:sz="0" w:space="0" w:color="auto"/>
          </w:divBdr>
        </w:div>
        <w:div w:id="1120881697">
          <w:marLeft w:val="0"/>
          <w:marRight w:val="0"/>
          <w:marTop w:val="0"/>
          <w:marBottom w:val="150"/>
          <w:divBdr>
            <w:top w:val="none" w:sz="0" w:space="0" w:color="auto"/>
            <w:left w:val="none" w:sz="0" w:space="0" w:color="auto"/>
            <w:bottom w:val="none" w:sz="0" w:space="0" w:color="auto"/>
            <w:right w:val="none" w:sz="0" w:space="0" w:color="auto"/>
          </w:divBdr>
        </w:div>
        <w:div w:id="522288652">
          <w:marLeft w:val="0"/>
          <w:marRight w:val="0"/>
          <w:marTop w:val="0"/>
          <w:marBottom w:val="150"/>
          <w:divBdr>
            <w:top w:val="none" w:sz="0" w:space="0" w:color="auto"/>
            <w:left w:val="none" w:sz="0" w:space="0" w:color="auto"/>
            <w:bottom w:val="none" w:sz="0" w:space="0" w:color="auto"/>
            <w:right w:val="none" w:sz="0" w:space="0" w:color="auto"/>
          </w:divBdr>
        </w:div>
        <w:div w:id="1336498194">
          <w:marLeft w:val="0"/>
          <w:marRight w:val="0"/>
          <w:marTop w:val="0"/>
          <w:marBottom w:val="150"/>
          <w:divBdr>
            <w:top w:val="none" w:sz="0" w:space="0" w:color="auto"/>
            <w:left w:val="none" w:sz="0" w:space="0" w:color="auto"/>
            <w:bottom w:val="none" w:sz="0" w:space="0" w:color="auto"/>
            <w:right w:val="none" w:sz="0" w:space="0" w:color="auto"/>
          </w:divBdr>
        </w:div>
        <w:div w:id="108935311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2612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L.Toshmurodov</dc:creator>
  <cp:keywords/>
  <dc:description/>
  <cp:lastModifiedBy>Shakarboy G'oyibnazarov</cp:lastModifiedBy>
  <cp:revision>2</cp:revision>
  <dcterms:created xsi:type="dcterms:W3CDTF">2024-02-22T04:39:00Z</dcterms:created>
  <dcterms:modified xsi:type="dcterms:W3CDTF">2024-02-22T04:39:00Z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iqtisodiy sud nomi</w:name>
    <w:value w:hidden="false">
      <w:unit w:active="false"/>
    </w:value>
  </w:element>
  <w:element w:id="3" w:kind="variable" w:selector="check" w:type="string" w:valueMode="normal" w:required="false" w:groupID="1">
    <w:identifier xml:space="preserve">ID3</w:identifier>
    <w:name xml:space="preserve">Iltimosnoma berilgan sana</w:name>
    <w:value w:hidden="false">
      <w:unit w:active="false"/>
    </w:value>
  </w:element>
  <w:element w:id="4" w:kind="category" w:selector="check" w:type="string" w:valueMode="normal" w:required="false">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 yuridik shaxsning yuridik manzili</w:name>
    <w:value w:hidden="false">
      <w:unit w:active="false"/>
    </w:value>
  </w:element>
  <w:element w:id="6" w:kind="variable" w:selector="check" w:type="string" w:valueMode="normal" w:required="false" w:groupID="4">
    <w:identifier xml:space="preserve">ID6</w:identifier>
    <w:name xml:space="preserve">Iltimosnoma beruvchi yuridik shaxsning nomi va tashkiliy huquqiy shakli</w:name>
    <w:value w:hidden="false">
      <w:unit w:active="false"/>
    </w:value>
  </w:element>
  <w:element w:id="7" w:kind="category" w:selector="check" w:type="string" w:valueMode="normal" w:required="false">
    <w:identifier xml:space="preserve">ID7</w:identifier>
    <w:name xml:space="preserve">Iltimosnoma mazmuni</w:name>
    <w:value w:hidden="true">
      <w:unit w:active="false"/>
    </w:value>
  </w:element>
  <w:element w:id="8" w:kind="variable" w:selector="check" w:type="string" w:valueMode="normal" w:required="false" w:groupID="7">
    <w:identifier xml:space="preserve">ID8</w:identifier>
    <w:name xml:space="preserve">Ish bo‘yicha da’vogarning F.I.O.si</w:name>
    <w:value w:hidden="false">
      <w:unit w:active="false"/>
    </w:value>
  </w:element>
  <w:element w:id="9" w:kind="variable" w:selector="check" w:type="string" w:valueMode="normal" w:required="false" w:groupID="7">
    <w:identifier xml:space="preserve">ID9</w:identifier>
    <w:name xml:space="preserve">Ish bo‘yicha javobgarning F.I.O.si</w:name>
    <w:value w:hidden="false">
      <w:unit w:active="false"/>
    </w:value>
  </w:element>
  <w:element w:id="10" w:kind="variable" w:selector="check" w:type="string" w:valueMode="normal" w:required="false" w:groupID="7">
    <w:identifier xml:space="preserve">ID10</w:identifier>
    <w:name xml:space="preserve">Da’vo ariza mazmuni</w:name>
    <w:value w:hidden="false">
      <w:unit w:active="false"/>
    </w:value>
  </w:element>
  <w:element w:id="11" w:kind="variable" w:selector="check" w:type="string" w:valueMode="normal" w:required="false" w:groupID="7">
    <w:identifier xml:space="preserve">ID11</w:identifier>
    <w:name xml:space="preserve">Ekspertiza tayinlangan sana</w:name>
    <w:value w:hidden="false">
      <w:unit w:active="false"/>
    </w:value>
  </w:element>
  <w:element w:id="12" w:kind="variable" w:selector="check" w:type="string" w:valueMode="normal" w:required="false" w:groupID="7">
    <w:identifier xml:space="preserve">ID12</w:identifier>
    <w:name xml:space="preserve">Tayinlangan ekspertiza turi</w:name>
    <w:value w:hidden="false">
      <w:unit w:active="false"/>
    </w:value>
  </w:element>
  <w:element w:id="13" w:kind="variable" w:selector="check" w:type="string" w:valueMode="normal" w:required="false" w:groupID="7">
    <w:identifier xml:space="preserve">ID13</w:identifier>
    <w:name xml:space="preserve">Ekspertiza xulosasi berilgan sana</w:name>
    <w:value w:hidden="false">
      <w:unit w:active="false"/>
    </w:value>
  </w:element>
  <w:element w:id="14" w:kind="variable" w:selector="check" w:type="string" w:valueMode="normal" w:required="false" w:groupID="7">
    <w:identifier xml:space="preserve">ID14</w:identifier>
    <w:name xml:space="preserve">Ekspertiza xulosaning mazmuni</w:name>
    <w:value w:hidden="false">
      <w:unit w:active="false"/>
    </w:value>
  </w:element>
  <w:element w:id="15" w:kind="variable" w:selector="check" w:type="string" w:valueMode="normal" w:required="false" w:groupID="7">
    <w:identifier xml:space="preserve">ID15</w:identifier>
    <w:name xml:space="preserve">Iltimosnoma beruvchi ekspertiza xulosasini asossiz deb hisoblashining sabablari</w:name>
    <w:comment xml:space="preserve">Изоҳ: Сабаблар тўлиқ, аниқ ва асосланган бўлиши лозим</w:comment>
    <w:value w:hidden="false">
      <w:unit w:active="false"/>
    </w:value>
  </w:element>
  <w:element w:id="16" w:kind="variable" w:selector="check" w:type="string" w:valueMode="normal" w:required="false" w:groupID="7">
    <w:identifier xml:space="preserve">ID16</w:identifier>
    <w:name xml:space="preserve">Iltimosnomaga ilova qilingan hujjatlar ro‘yxati</w:name>
    <w:comment xml:space="preserve">Izoh: Iltimosnomaga ish holatiga oid, iltimosnomani asoslovchi barcha hujjatlar,  iltimosnoma nusxasi taraflarga yuborilganligini, tasdiqlovchi hujjatlar va boshqa hujjatlar ilova qilinishi lozim</w:comment>
    <w:value w:hidden="false">
      <w:unit w:active="false"/>
    </w:value>
  </w:element>
</w:structure>
</file>