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300"/>
        <w:gridCol w:w="2919"/>
        <w:gridCol w:w="5352"/>
      </w:tblGrid>
      <w:tr>
        <w:tc>
          <w:tcPr>
            <w:tcW w:w="679" w:type="pct"/>
          </w:tcPr>
          <w:p>
            <w:pPr>
              <w:jc w:val="center"/>
              <w:spacing w:after="0"/>
              <w:rPr>
                <w:b/>
                <w:sz w:val="28"/>
                <w:rFonts w:ascii="Times New Roman" w:hAnsi="Times New Roman"/>
              </w:rPr>
            </w:pPr>
            <w:r>
              <w:rPr>
                <w:b/>
                <w:sz w:val="28"/>
                <w:rFonts w:ascii="Times New Roman" w:hAnsi="Times New Roman"/>
              </w:rPr>
            </w:r>
          </w:p>
        </w:tc>
        <w:tc>
          <w:tcPr>
            <w:tcW w:w="1525" w:type="pct"/>
          </w:tcPr>
          <w:p>
            <w:pPr>
              <w:jc w:val="right"/>
              <w:rPr>
                <w:color w:val="000000"/>
                <w:sz w:val="28"/>
                <w:rFonts w:ascii="Times New Roman" w:hAnsi="Times New Roman"/>
              </w:rPr>
            </w:pPr>
          </w:p>
        </w:tc>
        <w:tc>
          <w:tcPr>
            <w:tcW w:w="2796" w:type="pct"/>
          </w:tcPr>
          <w:p>
            <w:pPr>
              <w:jc w:val="both"/>
              <w:ind w:left="1597"/>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sudiga</w:t>
            </w:r>
          </w:p>
        </w:tc>
      </w:tr>
      <w:tr>
        <w:tc>
          <w:tcPr>
            <w:tcW w:w="679" w:type="pct"/>
          </w:tcPr>
          <w:p>
            <w:pPr>
              <w:jc w:val="right"/>
              <w:rPr>
                <w:color w:val="000000"/>
                <w:sz w:val="28"/>
                <w:rFonts w:ascii="Times New Roman" w:hAnsi="Times New Roman"/>
              </w:rPr>
            </w:pPr>
          </w:p>
        </w:tc>
        <w:tc>
          <w:tcPr>
            <w:tcW w:w="1525" w:type="pct"/>
          </w:tcPr>
          <w:p>
            <w:pPr>
              <w:jc w:val="right"/>
              <w:rPr>
                <w:color w:val="000000"/>
                <w:sz w:val="28"/>
                <w:rFonts w:ascii="Times New Roman" w:hAnsi="Times New Roman"/>
              </w:rPr>
            </w:pPr>
          </w:p>
        </w:tc>
        <w:tc>
          <w:tcPr>
            <w:tcW w:w="2796" w:type="pct"/>
          </w:tcPr>
          <w:p>
            <w:pPr>
              <w:jc w:val="right"/>
              <w:rPr>
                <w:color w:val="000000"/>
                <w:sz w:val="28"/>
                <w:rFonts w:ascii="Times New Roman" w:hAnsi="Times New Roman"/>
              </w:rPr>
            </w:pPr>
          </w:p>
        </w:tc>
      </w:tr>
      <w:tr>
        <w:tc>
          <w:tcPr>
            <w:tcW w:w="2796" w:type="pct"/>
          </w:tcPr>
          <w:p>
            <w:pPr>
              <w:jc w:val="right"/>
              <w:rPr>
                <w:color w:val="000000"/>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Iltimosnoma muallifining F.I.Sh.i</w:t>
              <w:fldChar w:fldCharType="end"/>
            </w:r>
            <w:r>
              <w:rPr>
                <w:color w:val="000000"/>
                <w:sz w:val="28"/>
                <w:rFonts w:ascii="Times New Roman" w:hAnsi="Times New Roman"/>
              </w:rPr>
              <w:t>dan</w:t>
            </w:r>
          </w:p>
        </w:tc>
      </w:tr>
    </w:tbl>
    <w:p>
      <w:pPr>
        <w:jc w:val="right"/>
        <w:spacing w:after="0" w:line="240" w:lineRule="auto"/>
        <w:rPr>
          <w:color w:val="000000"/>
          <w:sz w:val="28"/>
          <w:rFonts w:ascii="Times New Roman" w:hAnsi="Times New Roman"/>
        </w:rPr>
      </w:pPr>
      <w:r>
        <w:rPr>
          <w:b/>
          <w:color w:val="000000"/>
          <w:sz w:val="28"/>
          <w:rFonts w:ascii="Times New Roman" w:hAnsi="Times New Roman"/>
        </w:rPr>
        <w:br/>
      </w:r>
    </w:p>
    <w:p>
      <w:pPr>
        <w:jc w:val="right"/>
        <w:spacing w:after="0" w:line="240" w:lineRule="auto"/>
        <w:rPr>
          <w:color w:val="000000"/>
          <w:sz w:val="28"/>
          <w:rFonts w:ascii="Times New Roman" w:hAnsi="Times New Roman"/>
        </w:rPr>
      </w:pPr>
    </w:p>
    <w:p>
      <w:pPr>
        <w:jc w:val="center"/>
        <w:spacing w:after="0" w:line="240" w:lineRule="auto"/>
        <w:rPr>
          <w:b/>
          <w:color w:val="000000"/>
          <w:sz w:val="28"/>
          <w:rFonts w:ascii="Times New Roman" w:hAnsi="Times New Roman"/>
        </w:rPr>
      </w:pPr>
      <w:r>
        <w:rPr>
          <w:b/>
          <w:color w:val="000000"/>
          <w:sz w:val="28"/>
          <w:rFonts w:ascii="Times New Roman" w:hAnsi="Times New Roman"/>
        </w:rPr>
        <w:t>ILTIMOSNOMA</w:t>
      </w:r>
    </w:p>
    <w:p>
      <w:pPr>
        <w:jc w:val="center"/>
        <w:spacing w:after="0" w:line="240" w:lineRule="auto"/>
        <w:rPr>
          <w:color w:val="000000"/>
          <w:sz w:val="28"/>
          <w:rFonts w:ascii="Times New Roman" w:hAnsi="Times New Roman"/>
        </w:rPr>
      </w:pPr>
      <w:r>
        <w:rPr>
          <w:color w:val="000000"/>
          <w:sz w:val="28"/>
          <w:rFonts w:ascii="Times New Roman" w:hAnsi="Times New Roman"/>
        </w:rPr>
        <w:t>(</w:t>
      </w:r>
      <w:r>
        <w:rPr>
          <w:sz w:val="28"/>
          <w:rFonts w:ascii="Times New Roman" w:hAnsi="Times New Roman"/>
        </w:rPr>
        <w:t xml:space="preserve">Qurilish-texnikaviy </w:t>
      </w:r>
      <w:r>
        <w:rPr>
          <w:color w:val="000000"/>
          <w:sz w:val="28"/>
          <w:rFonts w:ascii="Times New Roman" w:hAnsi="Times New Roman"/>
        </w:rPr>
        <w:t xml:space="preserve">ekspertiza tayinlash toʻgʻrisida)</w:t>
      </w:r>
    </w:p>
    <w:p>
      <w:pPr>
        <w:jc w:val="center"/>
        <w:spacing w:after="0" w:line="240" w:lineRule="auto"/>
        <w:rPr>
          <w:color w:val="000000"/>
          <w:sz w:val="28"/>
          <w:rFonts w:ascii="Times New Roman" w:hAnsi="Times New Roman"/>
        </w:rPr>
      </w:pPr>
    </w:p>
    <w:p>
      <w:pPr>
        <w:jc w:val="center"/>
        <w:spacing w:after="0"/>
        <w:rPr>
          <w:color w:val="000000"/>
          <w:sz w:val="28"/>
          <w:rFonts w:ascii="Times New Roman" w:hAnsi="Times New Roman"/>
        </w:rPr>
      </w:pPr>
    </w:p>
    <w:p>
      <w:pPr>
        <w:jc w:val="both"/>
        <w:ind w:firstLine="709"/>
        <w:spacing w:after="0"/>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jinoyat ishi koʻrilmoqda.</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Mazkur jinoyat ishi boʻyicha qonuniy, asosli va adolatli qaror qabul qilish uchun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Qurilish-texnikaviy ekspertiza tayinlash yoʻli bilan aniqlanishi lozim boʻlgan holatning qisqacha tafsiloti </w:t>
        <w:fldChar w:fldCharType="end"/>
      </w:r>
      <w:r>
        <w:rPr>
          <w:color w:val="000000"/>
          <w:sz w:val="28"/>
          <w:rFonts w:ascii="Times New Roman" w:hAnsi="Times New Roman"/>
        </w:rPr>
        <w:t xml:space="preserve"> holati aniqlanishi lozim.   </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Holat aniqlanishi uchun esa </w:t>
      </w:r>
      <w:r>
        <w:rPr>
          <w:sz w:val="28"/>
          <w:rFonts w:ascii="Times New Roman" w:hAnsi="Times New Roman"/>
        </w:rPr>
        <w:t xml:space="preserve">qurilish-texnikaviy </w:t>
      </w:r>
      <w:r>
        <w:rPr>
          <w:color w:val="000000"/>
          <w:sz w:val="28"/>
          <w:rFonts w:ascii="Times New Roman" w:hAnsi="Times New Roman"/>
        </w:rPr>
        <w:t xml:space="preserve">ekspertiza tayinlanishi, ekspertiza malakali mutaxasislar tomonidan oʻtkazilishi, ekspert xulosasidan kelib chiqqan holda qonuniy toʻxtamga kelib lozim boʻladi.</w:t>
      </w:r>
    </w:p>
    <w:p>
      <w:pPr>
        <w:jc w:val="both"/>
        <w:ind w:firstLine="851"/>
        <w:spacing w:after="0"/>
        <w:rPr>
          <w:color w:val="000000"/>
          <w:sz w:val="28"/>
          <w:rFonts w:ascii="Times New Roman" w:hAnsi="Times New Roman"/>
        </w:rPr>
      </w:pPr>
      <w:r>
        <w:rPr>
          <w:color w:val="000000"/>
          <w:sz w:val="28"/>
          <w:rFonts w:ascii="Times New Roman" w:hAnsi="Times New Roman"/>
        </w:rPr>
        <w:t xml:space="preserve">Oʻzbekiston Respublikasi Jinoyat protsessual kodeksining </w:t>
        <w:br/>
        <w:t xml:space="preserve">172-moddasiga koʻra, ish uchun ahamiyatli holatlar toʻgʻrisidagi maʼlumotlarni fan, texnika, sanʼat yoki kasb sohasi boʻyicha bilimi boʻlgan shaxs oʻtkazadigan maxsus tekshirish orqali olish mumkin boʻlganda ekspertiza tayinlanadi. Tergovga qadar tekshiruvni amalga oshiruvchi organning mansabdor shaxsi, surishtiruvchi, tergovchi, prokuror, sudya, mutaxassislar, xolislarning bunday bilimlarga ega boʻlishi ekspertiza tayinlash zaruratidan ozod etmaydi.</w:t>
      </w:r>
    </w:p>
    <w:p>
      <w:pPr>
        <w:jc w:val="both"/>
        <w:ind w:firstLine="851"/>
        <w:spacing w:after="0" w:line="240" w:lineRule="auto"/>
        <w:rPr>
          <w:color w:val="000000"/>
          <w:sz w:val="28"/>
          <w:rFonts w:ascii="Times New Roman" w:hAnsi="Times New Roman"/>
        </w:rPr>
      </w:pPr>
      <w:r>
        <w:rPr>
          <w:color w:val="000000"/>
          <w:sz w:val="28"/>
          <w:rFonts w:ascii="Times New Roman" w:hAnsi="Times New Roman"/>
        </w:rPr>
        <w:t xml:space="preserve">Mazkur Kodeksning 180-moddasiga koʻra, ekspertiza tayinlash toʻgʻrisida sud ajrim chiqaradi. Unda: ekspertiza tayinlash uchun asos boʻlgan sabablar; ekspertizaga yuborilayotgan ashyoviy, yozma va raqamli dalillar yoki boshqa obyektlar, ularning qachon, qayerda va qaysi holatda topilganligi va olinganligi; ish materiallari boʻyicha ekspertiza oʻtkazishda esa ekspert xulosasi asoslanishi lozim boʻlgan maʼlumotlar; ekspert oldiga qoʻyilgan savollar; ekspertiza muassasasining nomi yoki ekspertiza oʻtkazish topshirilgan shaxsning familiyasi koʻrsatilishi lozim.</w:t>
      </w:r>
    </w:p>
    <w:p>
      <w:pPr>
        <w:jc w:val="both"/>
        <w:ind w:firstLine="709"/>
        <w:spacing w:after="0" w:line="240" w:lineRule="auto"/>
        <w:rPr>
          <w:color w:val="000000"/>
          <w:sz w:val="28"/>
          <w:rFonts w:ascii="Times New Roman" w:hAnsi="Times New Roman"/>
        </w:rPr>
      </w:pPr>
      <w:r>
        <w:rPr>
          <w:color w:val="000000"/>
          <w:sz w:val="28"/>
          <w:rFonts w:ascii="Times New Roman" w:hAnsi="Times New Roman"/>
        </w:rPr>
        <w:t xml:space="preserve">Yuqoridagilardan kelib chiqib, Oʻzbekiston Respublikasi Jinoyat protsessual kodeksining 95, 172,173, 180-moddalariga asoslanib,</w:t>
      </w:r>
    </w:p>
    <w:p>
      <w:pPr>
        <w:jc w:val="center"/>
        <w:spacing w:before="280" w:after="288" w:line="240" w:lineRule="auto"/>
        <w:rPr>
          <w:color w:val="000000"/>
          <w:sz w:val="28"/>
          <w:rFonts w:ascii="Times New Roman" w:hAnsi="Times New Roman"/>
        </w:rPr>
      </w:pPr>
      <w:r>
        <w:rPr>
          <w:b/>
          <w:color w:val="000000"/>
          <w:sz w:val="28"/>
          <w:rFonts w:ascii="Times New Roman" w:hAnsi="Times New Roman"/>
        </w:rPr>
        <w:t>SOʻRAYMAN:</w:t>
      </w:r>
    </w:p>
    <w:p>
      <w:pPr>
        <w:jc w:val="both"/>
        <w:ind w:firstLine="708"/>
        <w:spacing w:after="0" w:line="240" w:lineRule="auto"/>
        <w:rPr>
          <w:color w:val="000000"/>
          <w:sz w:val="28"/>
          <w:rFonts w:ascii="Times New Roman" w:hAnsi="Times New Roman"/>
        </w:rPr>
      </w:pPr>
      <w:r>
        <w:rPr>
          <w:color w:val="000000"/>
          <w:sz w:val="28"/>
          <w:rFonts w:ascii="Times New Roman" w:hAnsi="Times New Roman"/>
        </w:rPr>
        <w:t xml:space="preserve">1. Mening </w:t>
      </w:r>
      <w:r>
        <w:rPr>
          <w:sz w:val="28"/>
          <w:rFonts w:ascii="Times New Roman" w:hAnsi="Times New Roman"/>
        </w:rPr>
        <w:t xml:space="preserve">qurilish-texnikaviy </w:t>
      </w:r>
      <w:r>
        <w:rPr>
          <w:color w:val="000000"/>
          <w:sz w:val="28"/>
          <w:rFonts w:ascii="Times New Roman" w:hAnsi="Times New Roman"/>
        </w:rPr>
        <w:t xml:space="preserve">ekspertiza tayinlash haqidagi iltimosnomamni qanoatlantirishingizni;</w:t>
      </w:r>
    </w:p>
    <w:p>
      <w:pPr>
        <w:jc w:val="both"/>
        <w:ind w:firstLine="708"/>
        <w:spacing w:after="0"/>
        <w:rPr>
          <w:color w:val="000000"/>
          <w:sz w:val="28"/>
          <w:rFonts w:ascii="Times New Roman" w:hAnsi="Times New Roman"/>
        </w:rPr>
      </w:pPr>
      <w:r>
        <w:rPr>
          <w:color w:val="000000"/>
          <w:sz w:val="28"/>
          <w:rFonts w:ascii="Times New Roman" w:hAnsi="Times New Roman"/>
        </w:rPr>
        <w:t xml:space="preserve">2. 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yurituvidagi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yuritilayotgan jinoyat ishi yuzasidan </w:t>
      </w:r>
      <w:r>
        <w:rPr>
          <w:sz w:val="28"/>
          <w:rFonts w:ascii="Times New Roman" w:hAnsi="Times New Roman"/>
        </w:rPr>
        <w:t xml:space="preserve">qurilish-texnikaviy </w:t>
      </w:r>
      <w:r>
        <w:rPr>
          <w:color w:val="000000"/>
          <w:sz w:val="28"/>
          <w:rFonts w:ascii="Times New Roman" w:hAnsi="Times New Roman"/>
        </w:rPr>
        <w:t xml:space="preserve">ekspertiza tayinlashingizni;</w:t>
      </w:r>
    </w:p>
    <w:p>
      <w:pPr>
        <w:jc w:val="both"/>
        <w:ind w:firstLine="709"/>
        <w:spacing w:after="0"/>
        <w:rPr>
          <w:color w:val="000000"/>
          <w:sz w:val="28"/>
          <w:rFonts w:ascii="Times New Roman" w:hAnsi="Times New Roman"/>
        </w:rPr>
      </w:pPr>
      <w:r>
        <w:rPr>
          <w:color w:val="000000"/>
          <w:sz w:val="28"/>
          <w:rFonts w:ascii="Times New Roman" w:hAnsi="Times New Roman"/>
        </w:rPr>
        <w:t xml:space="preserve">3. Ekspertiza oʻtkazishni malakali ekspertga yuklashingizni. </w:t>
      </w:r>
    </w:p>
    <w:p>
      <w:pPr>
        <w:jc w:val="both"/>
        <w:spacing w:after="0" w:line="240" w:lineRule="auto"/>
        <w:rPr>
          <w:color w:val="000000"/>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8"/>
        <w:gridCol w:w="3118"/>
        <w:gridCol w:w="3119"/>
      </w:tblGrid>
      <w:tr>
        <w:trPr>
          <w:trHeight w:val="1128"/>
        </w:trPr>
        <w:tc>
          <w:tcPr>
            <w:tcW w:w="3190" w:type="dxa"/>
          </w:tcPr>
          <w:p>
            <w:pPr>
              <w:jc w:val="both"/>
              <w:spacing w:line="276" w:lineRule="auto"/>
              <w:rPr>
                <w:color w:val="000000"/>
                <w:sz w:val="28"/>
                <w:rFonts w:ascii="Times New Roman" w:hAnsi="Times New Roman"/>
              </w:rPr>
            </w:pPr>
          </w:p>
        </w:tc>
        <w:tc>
          <w:tcPr>
            <w:tcW w:w="3190" w:type="dxa"/>
          </w:tcPr>
          <w:p>
            <w:pPr>
              <w:jc w:val="both"/>
              <w:spacing w:line="276" w:lineRule="auto"/>
              <w:rPr>
                <w:color w:val="000000"/>
                <w:sz w:val="28"/>
                <w:rFonts w:ascii="Times New Roman" w:hAnsi="Times New Roman"/>
              </w:rPr>
            </w:pPr>
          </w:p>
        </w:tc>
        <w:tc>
          <w:tcPr>
            <w:tcW w:w="3191" w:type="dxa"/>
          </w:tcPr>
          <w:p>
            <w:pPr>
              <w:jc w:val="right"/>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Iltimosnoma muallifining F.I.Sh.i</w:t>
              <w:fldChar w:fldCharType="end"/>
            </w:r>
          </w:p>
          <w:p>
            <w:pPr>
              <w:jc w:val="both"/>
              <w:rPr>
                <w:color w:val="000000"/>
                <w:sz w:val="28"/>
                <w:rFonts w:ascii="Times New Roman" w:hAnsi="Times New Roman"/>
              </w:rPr>
            </w:pPr>
          </w:p>
        </w:tc>
      </w:tr>
    </w:tbl>
    <w:p>
      <w:pPr>
        <w:jc w:val="both"/>
        <w:spacing w:after="0" w:line="240" w:lineRule="auto"/>
        <w:rPr>
          <w:color w:val="000000"/>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8F"/>
    <w:rsid w:val="000B6FB4"/>
    <w:rsid w:val="00213A5B"/>
    <w:rsid w:val="00263191"/>
    <w:rsid w:val="002D359D"/>
    <w:rsid w:val="00370D20"/>
    <w:rsid w:val="003F7132"/>
    <w:rsid w:val="00406D50"/>
    <w:rsid w:val="00411193"/>
    <w:rsid w:val="0045084B"/>
    <w:rsid w:val="00482439"/>
    <w:rsid w:val="004A7E98"/>
    <w:rsid w:val="004E6318"/>
    <w:rsid w:val="00573F1C"/>
    <w:rsid w:val="00582785"/>
    <w:rsid w:val="005A070B"/>
    <w:rsid w:val="00611FFF"/>
    <w:rsid w:val="0065777A"/>
    <w:rsid w:val="006D2867"/>
    <w:rsid w:val="007366DF"/>
    <w:rsid w:val="00745E81"/>
    <w:rsid w:val="0075215D"/>
    <w:rsid w:val="007C4520"/>
    <w:rsid w:val="007C4823"/>
    <w:rsid w:val="007E2A31"/>
    <w:rsid w:val="007F4130"/>
    <w:rsid w:val="0086519C"/>
    <w:rsid w:val="00895839"/>
    <w:rsid w:val="00981631"/>
    <w:rsid w:val="0099420D"/>
    <w:rsid w:val="009D0426"/>
    <w:rsid w:val="009E17CC"/>
    <w:rsid w:val="009F14AC"/>
    <w:rsid w:val="00A55836"/>
    <w:rsid w:val="00A708DD"/>
    <w:rsid w:val="00A91D33"/>
    <w:rsid w:val="00AF0EC4"/>
    <w:rsid w:val="00B63C81"/>
    <w:rsid w:val="00BD09DD"/>
    <w:rsid w:val="00C24A9C"/>
    <w:rsid w:val="00C468F9"/>
    <w:rsid w:val="00C71D3A"/>
    <w:rsid w:val="00C90011"/>
    <w:rsid w:val="00CB2FEC"/>
    <w:rsid w:val="00CC3E0C"/>
    <w:rsid w:val="00D0568F"/>
    <w:rsid w:val="00DA4185"/>
    <w:rsid w:val="00E13C0C"/>
    <w:rsid w:val="00E32477"/>
    <w:rsid w:val="00F50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9594"/>
  <w15:docId w15:val="{CB28F227-89F8-4AC6-AF85-416AF190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table" w:styleId="a4">
    <w:name w:val="Table Grid"/>
    <w:basedOn w:val="a1"/>
    <w:uiPriority w:val="59"/>
    <w:rsid w:val="00CB2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611FFF"/>
  </w:style>
  <w:style w:type="character" w:customStyle="1" w:styleId="clausesuff">
    <w:name w:val="clausesuff"/>
    <w:basedOn w:val="a0"/>
    <w:rsid w:val="00611FFF"/>
  </w:style>
  <w:style w:type="character" w:styleId="a5">
    <w:name w:val="Hyperlink"/>
    <w:basedOn w:val="a0"/>
    <w:uiPriority w:val="99"/>
    <w:semiHidden/>
    <w:unhideWhenUsed/>
    <w:rsid w:val="00611FFF"/>
    <w:rPr>
      <w:color w:val="0000FF"/>
      <w:u w:val="single"/>
    </w:rPr>
  </w:style>
  <w:style w:type="paragraph" w:styleId="a6">
    <w:name w:val="Normal (Web)"/>
    <w:basedOn w:val="a"/>
    <w:uiPriority w:val="99"/>
    <w:semiHidden/>
    <w:unhideWhenUsed/>
    <w:rsid w:val="00C468F9"/>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46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938405">
      <w:bodyDiv w:val="1"/>
      <w:marLeft w:val="0"/>
      <w:marRight w:val="0"/>
      <w:marTop w:val="0"/>
      <w:marBottom w:val="0"/>
      <w:divBdr>
        <w:top w:val="none" w:sz="0" w:space="0" w:color="auto"/>
        <w:left w:val="none" w:sz="0" w:space="0" w:color="auto"/>
        <w:bottom w:val="none" w:sz="0" w:space="0" w:color="auto"/>
        <w:right w:val="none" w:sz="0" w:space="0" w:color="auto"/>
      </w:divBdr>
    </w:div>
    <w:div w:id="1347975029">
      <w:bodyDiv w:val="1"/>
      <w:marLeft w:val="0"/>
      <w:marRight w:val="0"/>
      <w:marTop w:val="0"/>
      <w:marBottom w:val="0"/>
      <w:divBdr>
        <w:top w:val="none" w:sz="0" w:space="0" w:color="auto"/>
        <w:left w:val="none" w:sz="0" w:space="0" w:color="auto"/>
        <w:bottom w:val="none" w:sz="0" w:space="0" w:color="auto"/>
        <w:right w:val="none" w:sz="0" w:space="0" w:color="auto"/>
      </w:divBdr>
      <w:divsChild>
        <w:div w:id="140123768">
          <w:marLeft w:val="0"/>
          <w:marRight w:val="0"/>
          <w:marTop w:val="120"/>
          <w:marBottom w:val="120"/>
          <w:divBdr>
            <w:top w:val="none" w:sz="0" w:space="0" w:color="auto"/>
            <w:left w:val="none" w:sz="0" w:space="0" w:color="auto"/>
            <w:bottom w:val="none" w:sz="0" w:space="0" w:color="auto"/>
            <w:right w:val="none" w:sz="0" w:space="0" w:color="auto"/>
          </w:divBdr>
        </w:div>
        <w:div w:id="2072650184">
          <w:marLeft w:val="0"/>
          <w:marRight w:val="0"/>
          <w:marTop w:val="60"/>
          <w:marBottom w:val="60"/>
          <w:divBdr>
            <w:top w:val="none" w:sz="0" w:space="0" w:color="auto"/>
            <w:left w:val="none" w:sz="0" w:space="0" w:color="auto"/>
            <w:bottom w:val="none" w:sz="0" w:space="0" w:color="auto"/>
            <w:right w:val="none" w:sz="0" w:space="0" w:color="auto"/>
          </w:divBdr>
        </w:div>
        <w:div w:id="85998815">
          <w:marLeft w:val="0"/>
          <w:marRight w:val="0"/>
          <w:marTop w:val="0"/>
          <w:marBottom w:val="150"/>
          <w:divBdr>
            <w:top w:val="none" w:sz="0" w:space="0" w:color="auto"/>
            <w:left w:val="none" w:sz="0" w:space="0" w:color="auto"/>
            <w:bottom w:val="none" w:sz="0" w:space="0" w:color="auto"/>
            <w:right w:val="none" w:sz="0" w:space="0" w:color="auto"/>
          </w:divBdr>
        </w:div>
      </w:divsChild>
    </w:div>
    <w:div w:id="1656299729">
      <w:bodyDiv w:val="1"/>
      <w:marLeft w:val="0"/>
      <w:marRight w:val="0"/>
      <w:marTop w:val="0"/>
      <w:marBottom w:val="0"/>
      <w:divBdr>
        <w:top w:val="none" w:sz="0" w:space="0" w:color="auto"/>
        <w:left w:val="none" w:sz="0" w:space="0" w:color="auto"/>
        <w:bottom w:val="none" w:sz="0" w:space="0" w:color="auto"/>
        <w:right w:val="none" w:sz="0" w:space="0" w:color="auto"/>
      </w:divBdr>
      <w:divsChild>
        <w:div w:id="1708214718">
          <w:marLeft w:val="0"/>
          <w:marRight w:val="0"/>
          <w:marTop w:val="120"/>
          <w:marBottom w:val="120"/>
          <w:divBdr>
            <w:top w:val="none" w:sz="0" w:space="0" w:color="auto"/>
            <w:left w:val="none" w:sz="0" w:space="0" w:color="auto"/>
            <w:bottom w:val="none" w:sz="0" w:space="0" w:color="auto"/>
            <w:right w:val="none" w:sz="0" w:space="0" w:color="auto"/>
          </w:divBdr>
        </w:div>
        <w:div w:id="551813402">
          <w:marLeft w:val="0"/>
          <w:marRight w:val="0"/>
          <w:marTop w:val="60"/>
          <w:marBottom w:val="60"/>
          <w:divBdr>
            <w:top w:val="none" w:sz="0" w:space="0" w:color="auto"/>
            <w:left w:val="none" w:sz="0" w:space="0" w:color="auto"/>
            <w:bottom w:val="none" w:sz="0" w:space="0" w:color="auto"/>
            <w:right w:val="none" w:sz="0" w:space="0" w:color="auto"/>
          </w:divBdr>
        </w:div>
        <w:div w:id="143762863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56069-BCAB-4F6A-B9DA-BBAAB27E3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3</Pages>
  <Words>405</Words>
  <Characters>2311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L.Toshmurodov</dc:creator>
  <cp:lastModifiedBy>Rahimov Xudoyberdi</cp:lastModifiedBy>
  <cp:revision>31</cp:revision>
  <dcterms:created xsi:type="dcterms:W3CDTF">2022-03-29T14:54:00Z</dcterms:created>
  <dcterms:modified xsi:type="dcterms:W3CDTF">2025-01-07T04:09:00Z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Arizaning rekvizitlari</w:name>
    <w:value w:hidden="true">
      <w:unit w:active="false"/>
    </w:value>
  </w:element>
  <w:element w:id="2" w:kind="variable" w:type="string" w:valueMode="normal" w:required="false" w:groupID="1">
    <w:identifier xml:space="preserve">ID2</w:identifier>
    <w:name xml:space="preserve">Iltimosnoma berilayotgan jinoyat ishlari boʻyicha sudning nomi</w:name>
    <w:value w:hidden="false">
      <w:unit w:active="false"/>
    </w:value>
  </w:element>
  <w:element w:id="3" w:kind="variable" w:type="string" w:valueMode="normal" w:required="false" w:groupID="1">
    <w:identifier xml:space="preserve">ID3</w:identifier>
    <w:name xml:space="preserve">Iltimosnoma muallifining F.I.Sh.i</w:name>
    <w:value w:hidden="false">
      <w:unit w:active="false"/>
    </w:value>
  </w:element>
  <w:element w:id="4" w:kind="variable" w:type="string" w:valueMode="normal" w:required="false" w:groupID="1">
    <w:identifier xml:space="preserve">ID4</w:identifier>
    <w:name xml:space="preserve">Iltimosnoma imzolangan sana</w:name>
    <w:value w:hidden="false">
      <w:unit w:active="false"/>
    </w:value>
  </w:element>
  <w:element w:id="5" w:kind="variable" w:type="string" w:valueMode="normal" w:required="false" w:groupID="1">
    <w:identifier xml:space="preserve">ID5</w:identifier>
    <w:name xml:space="preserve">Jinoyat ishi boʻyicha ayblanuvchi(lar)ning F.I.Sh.i </w:name>
    <w:value w:hidden="false">
      <w:unit w:active="false"/>
    </w:value>
  </w:element>
  <w:element w:id="6" w:kind="variable" w:type="string" w:valueMode="normal" w:required="false" w:groupID="1">
    <w:identifier xml:space="preserve">ID6</w:identifier>
    <w:name xml:space="preserve">Ayblanuvchi(lar) ga nisbatan jinoyat ishi yuritilayotgan modda(lar) raqami </w:name>
    <w:value w:hidden="false">
      <w:unit w:active="false"/>
    </w:value>
  </w:element>
  <w:element w:id="7" w:kind="variable" w:type="string" w:valueMode="normal" w:required="false" w:groupID="1">
    <w:identifier xml:space="preserve">ID7</w:identifier>
    <w:name xml:space="preserve">Qurilish-texnikaviy ekspertiza tayinlash yoʻli bilan aniqlanishi lozim boʻlgan holatning qisqacha tafsiloti </w:name>
    <w:value w:hidden="false">
      <w:unit w:active="false"/>
    </w:value>
  </w:element>
</w:structure>
</file>