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rPr>
          <w:b/>
          <w:sz w:val="28"/>
        </w:rPr>
      </w:pPr>
    </w:p>
    <w:p>
      <w:pPr>
        <w:jc w:val="center"/>
        <w:spacing w:line="276" w:lineRule="auto"/>
        <w:rPr>
          <w:b/>
          <w:sz w:val="28"/>
        </w:rPr>
      </w:pPr>
      <w:r>
        <w:rPr>
          <w:b/>
          <w:sz w:val="28"/>
        </w:rPr>
        <w:t xml:space="preserve">Reklama (tarqatma) materiallari tayyorlab berish </w:t>
      </w:r>
    </w:p>
    <w:p>
      <w:pPr>
        <w:jc w:val="center"/>
        <w:spacing w:line="276" w:lineRule="auto"/>
        <w:rPr>
          <w:b/>
          <w:sz w:val="28"/>
        </w:rPr>
      </w:pPr>
      <w:r>
        <w:rPr>
          <w:b/>
          <w:sz w:val="28"/>
        </w:rPr>
        <w:t>SHARTNOMASI</w:t>
      </w:r>
    </w:p>
    <w:p>
      <w:pPr>
        <w:jc w:val="center"/>
        <w:shd w:fill="ffffff"/>
        <w:spacing w:line="276" w:lineRule="auto"/>
        <w:rPr>
          <w:sz w:val="28"/>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209"/>
        <w:gridCol w:w="3209"/>
        <w:gridCol w:w="3210"/>
      </w:tblGrid>
      <w:tr>
        <w:tc>
          <w:tcPr>
            <w:tcW w:w="3209" w:type="dxa"/>
          </w:tcPr>
          <w:p>
            <w:pPr>
              <w:ind w:right="-1"/>
              <w:spacing w:line="276" w:lineRule="auto"/>
              <w:rPr>
                <w:sz w:val="28"/>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209" w:type="dxa"/>
          </w:tcPr>
          <w:p>
            <w:pPr>
              <w:jc w:val="center"/>
              <w:ind w:right="-1"/>
              <w:spacing w:line="276" w:lineRule="auto"/>
              <w:rPr>
                <w:sz w:val="28"/>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Pr>
              <w:t>-son</w:t>
            </w:r>
          </w:p>
        </w:tc>
        <w:tc>
          <w:tcPr>
            <w:tcW w:w="3210" w:type="dxa"/>
          </w:tcPr>
          <w:p>
            <w:pPr>
              <w:jc w:val="right"/>
              <w:ind w:right="-1"/>
              <w:spacing w:line="276" w:lineRule="auto"/>
              <w:rPr>
                <w:sz w:val="28"/>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r>
              <w:rPr>
                <w:sz w:val="28"/>
              </w:rPr>
              <w:t xml:space="preserve"> </w:t>
            </w:r>
          </w:p>
        </w:tc>
      </w:tr>
    </w:tbl>
    <w:p>
      <w:pPr>
        <w:jc w:val="both"/>
        <w:ind w:right="-1" w:firstLine="284"/>
        <w:spacing w:line="276" w:lineRule="auto"/>
        <w:rPr>
          <w:sz w:val="28"/>
        </w:rPr>
      </w:pPr>
    </w:p>
    <w:p>
      <w:pPr>
        <w:jc w:val="both"/>
        <w:ind w:right="-1" w:firstLine="284"/>
        <w:spacing w:line="276" w:lineRule="auto"/>
        <w:rPr>
          <w:sz w:val="28"/>
        </w:rPr>
      </w:pPr>
      <w:r>
        <w:rPr>
          <w:vanish w:val="false"/>
          <w:sz w:val="28"/>
          <w:rFonts w:ascii="Times New Roman" w:hAnsi="Times New Roman"/>
        </w:rPr>
        <w:fldChar w:fldCharType="begin"/>
        <w:instrText xml:space="preserve">X {"Y":6}</w:instrText>
        <w:fldChar w:fldCharType="separate"/>
        <w:t xml:space="preserve">Buyurtmachining to‘liq nomi</w:t>
      </w:r>
      <w:r>
        <w:rPr>
          <w:vanish w:val="false"/>
          <w:sz w:val="28"/>
          <w:rFonts w:ascii="Times New Roman" w:hAnsi="Times New Roman"/>
        </w:rPr>
        <w:fldChar w:fldCharType="end"/>
      </w:r>
      <w:r>
        <w:rPr>
          <w:sz w:val="28"/>
        </w:rPr>
        <w:t xml:space="preserve">, keyingi oʻrinlarda “Buyurtmachi” deb yuritiladi, </w:t>
      </w:r>
      <w:r>
        <w:rPr>
          <w:vanish w:val="false"/>
          <w:sz w:val="28"/>
          <w:rFonts w:ascii="Times New Roman" w:hAnsi="Times New Roman"/>
        </w:rPr>
        <w:fldChar w:fldCharType="begin"/>
        <w:instrText xml:space="preserve">X {"Y":7}</w:instrText>
        <w:fldChar w:fldCharType="separate"/>
        <w:t xml:space="preserve">Buyurtmachiga shartnoma tuzish huquqini beruvchi hujjat</w:t>
      </w:r>
      <w:r>
        <w:rPr>
          <w:vanish w:val="false"/>
          <w:sz w:val="28"/>
          <w:rFonts w:ascii="Times New Roman" w:hAnsi="Times New Roman"/>
        </w:rPr>
        <w:fldChar w:fldCharType="end"/>
      </w:r>
      <w:r>
        <w:rPr>
          <w:sz w:val="28"/>
        </w:rPr>
        <w:t xml:space="preserve"> asosida ish yurituvchi </w:t>
      </w:r>
      <w:r>
        <w:rPr>
          <w:vanish w:val="false"/>
          <w:sz w:val="28"/>
          <w:rFonts w:ascii="Times New Roman" w:hAnsi="Times New Roman"/>
        </w:rPr>
        <w:fldChar w:fldCharType="begin"/>
        <w:instrText xml:space="preserve">X {"Y":8}</w:instrText>
        <w:fldChar w:fldCharType="separate"/>
        <w:t xml:space="preserve">Buyurtmachi tashkilot masʼul shaxsi lavozimi va F.I.O.si</w:t>
      </w:r>
      <w:r>
        <w:rPr>
          <w:vanish w:val="false"/>
          <w:sz w:val="28"/>
          <w:rFonts w:ascii="Times New Roman" w:hAnsi="Times New Roman"/>
        </w:rPr>
        <w:fldChar w:fldCharType="end"/>
      </w:r>
      <w:r>
        <w:rPr>
          <w:sz w:val="28"/>
        </w:rPr>
        <w:t xml:space="preserve"> bir tomondan va </w:t>
      </w:r>
      <w:r>
        <w:rPr>
          <w:vanish w:val="false"/>
          <w:sz w:val="28"/>
          <w:rFonts w:ascii="Times New Roman" w:hAnsi="Times New Roman"/>
        </w:rPr>
        <w:fldChar w:fldCharType="begin"/>
        <w:instrText xml:space="preserve">X {"Y":15}</w:instrText>
        <w:fldChar w:fldCharType="separate"/>
        <w:t xml:space="preserve">Ijrochi tashkilotning nomi</w:t>
      </w:r>
      <w:r>
        <w:rPr>
          <w:vanish w:val="false"/>
          <w:sz w:val="28"/>
          <w:rFonts w:ascii="Times New Roman" w:hAnsi="Times New Roman"/>
        </w:rPr>
        <w:fldChar w:fldCharType="end"/>
      </w:r>
      <w:r>
        <w:rPr>
          <w:sz w:val="28"/>
        </w:rPr>
        <w:t xml:space="preserve">, keyingi oʻrinlarda “Ijrochi” deb yuritiladigan, </w:t>
      </w:r>
      <w:r>
        <w:rPr>
          <w:vanish w:val="false"/>
          <w:sz w:val="28"/>
          <w:rFonts w:ascii="Times New Roman" w:hAnsi="Times New Roman"/>
        </w:rPr>
        <w:fldChar w:fldCharType="begin"/>
        <w:instrText xml:space="preserve">X {"Y":16}</w:instrText>
        <w:fldChar w:fldCharType="separate"/>
        <w:t xml:space="preserve">shartnoma </w:t>
      </w:r>
      <w:r>
        <w:rPr>
          <w:vanish w:val="false"/>
          <w:sz w:val="28"/>
          <w:rFonts w:ascii="Times New Roman" w:hAnsi="Times New Roman"/>
        </w:rPr>
        <w:fldChar w:fldCharType="end"/>
      </w:r>
      <w:r>
        <w:rPr>
          <w:sz w:val="28"/>
        </w:rPr>
        <w:t xml:space="preserve"> hujjat asosida ish yurituvchi </w:t>
      </w:r>
      <w:r>
        <w:rPr>
          <w:vanish w:val="false"/>
          <w:sz w:val="28"/>
          <w:rFonts w:ascii="Times New Roman" w:hAnsi="Times New Roman"/>
        </w:rPr>
        <w:fldChar w:fldCharType="begin"/>
        <w:instrText xml:space="preserve">X {"Y":17}</w:instrText>
        <w:fldChar w:fldCharType="separate"/>
        <w:t xml:space="preserve">Ijrochi tashkilot maʼsul shaxsining lavozimi va F.I.O.si</w:t>
      </w:r>
      <w:r>
        <w:rPr>
          <w:vanish w:val="false"/>
          <w:sz w:val="28"/>
          <w:rFonts w:ascii="Times New Roman" w:hAnsi="Times New Roman"/>
        </w:rPr>
        <w:fldChar w:fldCharType="end"/>
      </w:r>
      <w:r>
        <w:rPr>
          <w:sz w:val="28"/>
        </w:rPr>
        <w:t xml:space="preserve"> ikkinchi tomondan mazkur shartnomani quyidagilar toʻgʻrisida tuzdilar:</w:t>
      </w:r>
    </w:p>
    <w:p>
      <w:pPr>
        <w:jc w:val="both"/>
        <w:ind w:right="-1" w:firstLine="284"/>
        <w:spacing w:line="276" w:lineRule="auto"/>
        <w:rPr>
          <w:sz w:val="28"/>
        </w:rPr>
      </w:pPr>
    </w:p>
    <w:p>
      <w:pPr>
        <w:jc w:val="center"/>
        <w:ind w:right="-1"/>
        <w:spacing w:line="276" w:lineRule="auto"/>
        <w:rPr>
          <w:b/>
          <w:sz w:val="28"/>
        </w:rPr>
      </w:pPr>
      <w:r>
        <w:rPr>
          <w:b/>
          <w:sz w:val="28"/>
        </w:rPr>
        <w:t xml:space="preserve">1. SHARTNOMA MAZMUNI</w:t>
      </w:r>
    </w:p>
    <w:p>
      <w:pPr>
        <w:pStyle w:val="a3"/>
        <w:jc w:val="both"/>
        <w:ind w:firstLine="652"/>
        <w:spacing w:after="0" w:line="276" w:lineRule="auto"/>
        <w:rPr>
          <w:sz w:val="28"/>
          <w:rFonts w:ascii="Times New Roman" w:hAnsi="Times New Roman"/>
        </w:rPr>
      </w:pPr>
      <w:r>
        <w:rPr>
          <w:sz w:val="28"/>
        </w:rPr>
        <w:t xml:space="preserve">1.1. “Ijrochi” mazkur shartnomaning ilovasiga muvofiq reklama (tarqatma) materiallari tayyorlab, “Buyurtmachi” esa qabul qilib olish va haqini toʻlash majburiyatini oladi.</w:t>
      </w:r>
    </w:p>
    <w:p>
      <w:pPr>
        <w:pStyle w:val="a3"/>
        <w:jc w:val="both"/>
        <w:ind w:firstLine="652"/>
        <w:spacing w:after="0" w:line="276" w:lineRule="auto"/>
        <w:rPr>
          <w:sz w:val="28"/>
          <w:rFonts w:ascii="Times New Roman" w:hAnsi="Times New Roman"/>
        </w:rPr>
      </w:pPr>
    </w:p>
    <w:p>
      <w:pPr>
        <w:jc w:val="center"/>
        <w:ind w:right="-1"/>
        <w:spacing w:line="276" w:lineRule="auto"/>
        <w:rPr>
          <w:b/>
          <w:sz w:val="28"/>
        </w:rPr>
      </w:pPr>
      <w:r>
        <w:rPr>
          <w:b/>
          <w:sz w:val="28"/>
        </w:rPr>
        <w:t xml:space="preserve">2. SHARTNOMANING UMUMIY QIYMATI:</w:t>
      </w:r>
    </w:p>
    <w:p>
      <w:pPr>
        <w:jc w:val="center"/>
        <w:ind w:right="-1"/>
        <w:spacing w:line="276" w:lineRule="auto"/>
        <w:rPr>
          <w:b/>
          <w:sz w:val="28"/>
        </w:rPr>
      </w:pPr>
    </w:p>
    <w:tbl>
      <w:tblPr>
        <w:tblW w:w="9586" w:type="dxa"/>
        <w:jc w:val="center"/>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2097"/>
        <w:gridCol w:w="2098"/>
        <w:gridCol w:w="1485"/>
        <w:gridCol w:w="1974"/>
        <w:gridCol w:w="1974"/>
      </w:tblGrid>
      <w:tr>
        <w:trPr>
          <w:trHeight w:val="563"/>
          <w:jc w:val="center"/>
        </w:trPr>
        <w:tc>
          <w:tcPr>
            <w:tcW w:w="2991" w:type="dxa"/>
            <w:tcBorders>
              <w:left w:sz="4" w:space="0" w:color="auto" w:val="single"/>
              <w:top w:sz="4" w:space="0" w:color="auto" w:val="single"/>
              <w:right w:sz="4" w:space="0" w:color="auto" w:val="single"/>
              <w:bottom w:sz="4" w:space="0" w:color="auto" w:val="single"/>
            </w:tcBorders>
            <w:vAlign w:val="center"/>
            <w:hideMark/>
          </w:tcPr>
          <w:p>
            <w:pPr>
              <w:jc w:val="center"/>
              <w:ind w:left="126"/>
              <w:spacing w:line="276" w:lineRule="auto"/>
              <w:rPr>
                <w:sz w:val="28"/>
              </w:rPr>
            </w:pPr>
            <w:r>
              <w:rPr>
                <w:b/>
                <w:sz w:val="28"/>
              </w:rPr>
              <w:t xml:space="preserve">Reklama (tarqatma) materiallari nomi</w:t>
            </w:r>
          </w:p>
        </w:tc>
        <w:tc>
          <w:tcPr>
            <w:tcW w:w="1556" w:type="dxa"/>
            <w:tcBorders>
              <w:left w:sz="4" w:space="0" w:color="auto" w:val="single"/>
              <w:top w:sz="4" w:space="0" w:color="auto" w:val="single"/>
              <w:right w:sz="4" w:space="0" w:color="auto" w:val="single"/>
              <w:bottom w:sz="4" w:space="0" w:color="auto" w:val="single"/>
            </w:tcBorders>
            <w:vAlign w:val="center"/>
            <w:hideMark/>
          </w:tcPr>
          <w:p>
            <w:pPr>
              <w:jc w:val="center"/>
              <w:spacing w:line="276" w:lineRule="auto"/>
              <w:rPr>
                <w:b/>
                <w:sz w:val="28"/>
              </w:rPr>
            </w:pPr>
            <w:r>
              <w:rPr>
                <w:b/>
                <w:sz w:val="28"/>
              </w:rPr>
              <w:t xml:space="preserve">Qisqacha mazmuni</w:t>
            </w:r>
          </w:p>
        </w:tc>
        <w:tc>
          <w:tcPr>
            <w:tcW w:w="1430" w:type="dxa"/>
            <w:tcBorders>
              <w:left w:sz="4" w:space="0" w:color="auto" w:val="single"/>
              <w:top w:sz="4" w:space="0" w:color="auto" w:val="single"/>
              <w:right w:sz="4" w:space="0" w:color="auto" w:val="single"/>
              <w:bottom w:sz="4" w:space="0" w:color="auto" w:val="single"/>
            </w:tcBorders>
            <w:vAlign w:val="center"/>
            <w:hideMark/>
          </w:tcPr>
          <w:p>
            <w:pPr>
              <w:jc w:val="center"/>
              <w:spacing w:line="276" w:lineRule="auto"/>
              <w:rPr>
                <w:b/>
                <w:sz w:val="28"/>
              </w:rPr>
            </w:pPr>
            <w:r>
              <w:rPr>
                <w:b/>
                <w:sz w:val="28"/>
              </w:rPr>
              <w:t xml:space="preserve">Soni (nusxa)</w:t>
            </w:r>
          </w:p>
        </w:tc>
        <w:tc>
          <w:tcPr>
            <w:tcW w:w="1389" w:type="dxa"/>
            <w:tcBorders>
              <w:left w:sz="4" w:space="0" w:color="auto" w:val="single"/>
              <w:top w:sz="4" w:space="0" w:color="auto" w:val="single"/>
              <w:right w:sz="4" w:space="0" w:color="auto" w:val="single"/>
              <w:bottom w:sz="4" w:space="0" w:color="auto" w:val="single"/>
            </w:tcBorders>
            <w:vAlign w:val="center"/>
            <w:hideMark/>
          </w:tcPr>
          <w:p>
            <w:pPr>
              <w:jc w:val="center"/>
              <w:spacing w:line="276" w:lineRule="auto"/>
              <w:rPr>
                <w:b/>
                <w:sz w:val="28"/>
              </w:rPr>
            </w:pPr>
            <w:r>
              <w:rPr>
                <w:b/>
                <w:sz w:val="28"/>
              </w:rPr>
              <w:t>Format</w:t>
            </w:r>
          </w:p>
        </w:tc>
        <w:tc>
          <w:tcPr>
            <w:tcW w:w="2220" w:type="dxa"/>
            <w:tcBorders>
              <w:left w:sz="4" w:space="0" w:color="auto" w:val="single"/>
              <w:top w:sz="4" w:space="0" w:color="auto" w:val="single"/>
              <w:right w:sz="4" w:space="0" w:color="auto" w:val="single"/>
              <w:bottom w:sz="4" w:space="0" w:color="auto" w:val="single"/>
            </w:tcBorders>
            <w:vAlign w:val="center"/>
            <w:hideMark/>
          </w:tcPr>
          <w:p>
            <w:pPr>
              <w:jc w:val="center"/>
              <w:ind w:left="87"/>
              <w:spacing w:line="276" w:lineRule="auto"/>
              <w:rPr>
                <w:b/>
                <w:sz w:val="28"/>
              </w:rPr>
            </w:pPr>
            <w:r>
              <w:rPr>
                <w:b/>
                <w:sz w:val="28"/>
              </w:rPr>
              <w:t>Narxi</w:t>
            </w:r>
          </w:p>
          <w:p>
            <w:pPr>
              <w:jc w:val="center"/>
              <w:ind w:left="87"/>
              <w:spacing w:line="276" w:lineRule="auto"/>
              <w:rPr>
                <w:b/>
                <w:sz w:val="28"/>
              </w:rPr>
            </w:pPr>
            <w:r>
              <w:rPr>
                <w:b/>
                <w:sz w:val="28"/>
              </w:rPr>
              <w:t xml:space="preserve">(QQS bilan)</w:t>
            </w:r>
          </w:p>
        </w:tc>
      </w:tr>
      <w:tr>
        <w:trPr>
          <w:trHeight w:val="685"/>
          <w:jc w:val="center"/>
        </w:trPr>
        <w:tc>
          <w:tcPr>
            <w:tcW w:w="2991" w:type="dxa"/>
            <w:tcBorders>
              <w:left w:sz="4" w:space="0" w:color="auto" w:val="single"/>
              <w:top w:sz="4" w:space="0" w:color="auto" w:val="single"/>
              <w:right w:sz="4" w:space="0" w:color="auto" w:val="single"/>
              <w:bottom w:sz="4" w:space="0" w:color="auto" w:val="single"/>
            </w:tcBorders>
            <w:vAlign w:val="center"/>
            <w:hideMark/>
          </w:tcPr>
          <w:p>
            <w:pPr>
              <w:ind w:left="126"/>
              <w:spacing w:line="276" w:lineRule="auto"/>
              <w:rPr>
                <w:b/>
                <w:sz w:val="28"/>
              </w:rPr>
            </w:pPr>
            <w:r>
              <w:rPr>
                <w:vanish w:val="false"/>
                <w:sz w:val="28"/>
                <w:rFonts w:ascii="Times New Roman" w:hAnsi="Times New Roman"/>
              </w:rPr>
              <w:fldChar w:fldCharType="begin"/>
              <w:instrText xml:space="preserve">X {"Y":24}</w:instrText>
              <w:fldChar w:fldCharType="separate"/>
              <w:t xml:space="preserve">Reklama (tarqatma) materiallarining nomi</w:t>
            </w:r>
            <w:r>
              <w:rPr>
                <w:vanish w:val="false"/>
                <w:sz w:val="28"/>
                <w:rFonts w:ascii="Times New Roman" w:hAnsi="Times New Roman"/>
              </w:rPr>
              <w:fldChar w:fldCharType="end"/>
            </w:r>
          </w:p>
        </w:tc>
        <w:tc>
          <w:tcPr>
            <w:tcW w:w="1556" w:type="dxa"/>
            <w:tcBorders>
              <w:left w:sz="4" w:space="0" w:color="auto" w:val="single"/>
              <w:top w:sz="4" w:space="0" w:color="auto" w:val="single"/>
              <w:right w:sz="4" w:space="0" w:color="auto" w:val="single"/>
              <w:bottom w:sz="4" w:space="0" w:color="auto" w:val="single"/>
            </w:tcBorders>
            <w:vAlign w:val="center"/>
          </w:tcPr>
          <w:p>
            <w:pPr>
              <w:jc w:val="center"/>
              <w:ind w:left="126"/>
              <w:spacing w:line="276" w:lineRule="auto"/>
              <w:rPr>
                <w:sz w:val="28"/>
              </w:rPr>
            </w:pPr>
            <w:r>
              <w:rPr>
                <w:vanish w:val="false"/>
                <w:sz w:val="28"/>
                <w:rFonts w:ascii="Times New Roman" w:hAnsi="Times New Roman"/>
              </w:rPr>
              <w:fldChar w:fldCharType="begin"/>
              <w:instrText xml:space="preserve">X {"Y":25}</w:instrText>
              <w:fldChar w:fldCharType="separate"/>
              <w:t xml:space="preserve">Reklama (tarqatma) materiallarining qisqacha mazmuni</w:t>
            </w:r>
            <w:r>
              <w:rPr>
                <w:vanish w:val="false"/>
                <w:sz w:val="28"/>
                <w:rFonts w:ascii="Times New Roman" w:hAnsi="Times New Roman"/>
              </w:rPr>
              <w:fldChar w:fldCharType="end"/>
            </w:r>
          </w:p>
        </w:tc>
        <w:tc>
          <w:tcPr>
            <w:tcW w:w="1430" w:type="dxa"/>
            <w:tcBorders>
              <w:left w:sz="4" w:space="0" w:color="auto" w:val="single"/>
              <w:top w:sz="4" w:space="0" w:color="auto" w:val="single"/>
              <w:right w:sz="4" w:space="0" w:color="auto" w:val="single"/>
              <w:bottom w:sz="4" w:space="0" w:color="auto" w:val="single"/>
            </w:tcBorders>
            <w:vAlign w:val="center"/>
          </w:tcPr>
          <w:p>
            <w:pPr>
              <w:jc w:val="center"/>
              <w:spacing w:line="276" w:lineRule="auto"/>
              <w:rPr>
                <w:sz w:val="28"/>
              </w:rPr>
            </w:pPr>
            <w:r>
              <w:rPr>
                <w:vanish w:val="false"/>
                <w:sz w:val="28"/>
                <w:rFonts w:ascii="Times New Roman" w:hAnsi="Times New Roman"/>
              </w:rPr>
              <w:fldChar w:fldCharType="begin"/>
              <w:instrText xml:space="preserve">X {"Y":26}</w:instrText>
              <w:fldChar w:fldCharType="separate"/>
              <w:t xml:space="preserve">Reklama (tarqatma) materiallari soni (nusxa)</w:t>
            </w:r>
            <w:r>
              <w:rPr>
                <w:vanish w:val="false"/>
                <w:sz w:val="28"/>
                <w:rFonts w:ascii="Times New Roman" w:hAnsi="Times New Roman"/>
              </w:rPr>
              <w:fldChar w:fldCharType="end"/>
            </w:r>
          </w:p>
        </w:tc>
        <w:tc>
          <w:tcPr>
            <w:tcW w:w="1389" w:type="dxa"/>
            <w:tcBorders>
              <w:left w:sz="4" w:space="0" w:color="auto" w:val="single"/>
              <w:top w:sz="4" w:space="0" w:color="auto" w:val="single"/>
              <w:right w:sz="4" w:space="0" w:color="auto" w:val="single"/>
              <w:bottom w:sz="4" w:space="0" w:color="auto" w:val="single"/>
            </w:tcBorders>
            <w:vAlign w:val="center"/>
          </w:tcPr>
          <w:p>
            <w:pPr>
              <w:spacing w:line="276" w:lineRule="auto"/>
              <w:rPr>
                <w:sz w:val="28"/>
              </w:rPr>
            </w:pPr>
            <w:r>
              <w:rPr>
                <w:vanish w:val="false"/>
                <w:sz w:val="28"/>
                <w:rFonts w:ascii="Times New Roman" w:hAnsi="Times New Roman"/>
              </w:rPr>
              <w:fldChar w:fldCharType="begin"/>
              <w:instrText xml:space="preserve">X {"Y":27}</w:instrText>
              <w:fldChar w:fldCharType="separate"/>
              <w:t xml:space="preserve">Reklama (tarqatma) materiallarining formati</w:t>
            </w:r>
            <w:r>
              <w:rPr>
                <w:vanish w:val="false"/>
                <w:sz w:val="28"/>
                <w:rFonts w:ascii="Times New Roman" w:hAnsi="Times New Roman"/>
              </w:rPr>
              <w:fldChar w:fldCharType="end"/>
            </w:r>
          </w:p>
        </w:tc>
        <w:tc>
          <w:tcPr>
            <w:tcW w:w="2220" w:type="dxa"/>
            <w:tcBorders>
              <w:left w:sz="4" w:space="0" w:color="auto" w:val="single"/>
              <w:top w:sz="4" w:space="0" w:color="auto" w:val="single"/>
              <w:right w:sz="4" w:space="0" w:color="auto" w:val="single"/>
              <w:bottom w:sz="4" w:space="0" w:color="auto" w:val="single"/>
            </w:tcBorders>
            <w:vAlign w:val="center"/>
            <w:hideMark/>
          </w:tcPr>
          <w:p>
            <w:pPr>
              <w:jc w:val="center"/>
              <w:spacing w:line="276" w:lineRule="auto"/>
              <w:rPr>
                <w:sz w:val="28"/>
              </w:rPr>
            </w:pPr>
            <w:r>
              <w:rPr>
                <w:vanish w:val="false"/>
                <w:sz w:val="28"/>
                <w:rFonts w:ascii="Times New Roman" w:hAnsi="Times New Roman"/>
              </w:rPr>
              <w:fldChar w:fldCharType="begin"/>
              <w:instrText xml:space="preserve">X {"Y":28}</w:instrText>
              <w:fldChar w:fldCharType="separate"/>
              <w:t xml:space="preserve">Reklama (tarqatma) materiallarining narxi (QQS qo‘shib hisoblanganda)</w:t>
            </w:r>
            <w:r>
              <w:rPr>
                <w:vanish w:val="false"/>
                <w:sz w:val="28"/>
                <w:rFonts w:ascii="Times New Roman" w:hAnsi="Times New Roman"/>
              </w:rPr>
              <w:fldChar w:fldCharType="end"/>
            </w:r>
          </w:p>
        </w:tc>
      </w:tr>
      <w:tr>
        <w:trPr>
          <w:trHeight w:val="411"/>
          <w:jc w:val="center"/>
        </w:trPr>
        <w:tc>
          <w:tcPr>
            <w:tcW w:w="2991" w:type="dxa"/>
            <w:tcBorders>
              <w:left w:sz="4" w:space="0" w:color="auto" w:val="single"/>
              <w:top w:sz="4" w:space="0" w:color="auto" w:val="single"/>
              <w:right w:sz="4" w:space="0" w:color="auto" w:val="single"/>
              <w:bottom w:sz="4" w:space="0" w:color="auto" w:val="single"/>
            </w:tcBorders>
            <w:vAlign w:val="center"/>
            <w:hideMark/>
          </w:tcPr>
          <w:p>
            <w:pPr>
              <w:jc w:val="center"/>
              <w:ind w:left="126"/>
              <w:spacing w:line="276" w:lineRule="auto"/>
              <w:rPr>
                <w:sz w:val="28"/>
              </w:rPr>
            </w:pPr>
            <w:r>
              <w:rPr>
                <w:b/>
                <w:sz w:val="28"/>
              </w:rPr>
              <w:t>Jami:</w:t>
            </w:r>
          </w:p>
        </w:tc>
        <w:tc>
          <w:tcPr>
            <w:tcW w:w="1556" w:type="dxa"/>
            <w:tcBorders>
              <w:left w:sz="4" w:space="0" w:color="auto" w:val="single"/>
              <w:top w:sz="4" w:space="0" w:color="auto" w:val="single"/>
              <w:right w:sz="4" w:space="0" w:color="auto" w:val="single"/>
              <w:bottom w:sz="4" w:space="0" w:color="auto" w:val="single"/>
            </w:tcBorders>
            <w:vAlign w:val="center"/>
          </w:tcPr>
          <w:p>
            <w:pPr>
              <w:ind w:left="483"/>
              <w:spacing w:line="276" w:lineRule="auto"/>
              <w:rPr>
                <w:sz w:val="28"/>
              </w:rPr>
            </w:pPr>
          </w:p>
        </w:tc>
        <w:tc>
          <w:tcPr>
            <w:tcW w:w="1430" w:type="dxa"/>
            <w:tcBorders>
              <w:left w:sz="4" w:space="0" w:color="auto" w:val="single"/>
              <w:top w:sz="4" w:space="0" w:color="auto" w:val="single"/>
              <w:right w:sz="4" w:space="0" w:color="auto" w:val="single"/>
              <w:bottom w:sz="4" w:space="0" w:color="auto" w:val="single"/>
            </w:tcBorders>
            <w:vAlign w:val="center"/>
          </w:tcPr>
          <w:p>
            <w:pPr>
              <w:spacing w:line="276" w:lineRule="auto"/>
              <w:rPr>
                <w:sz w:val="28"/>
              </w:rPr>
            </w:pPr>
          </w:p>
        </w:tc>
        <w:tc>
          <w:tcPr>
            <w:tcW w:w="1389" w:type="dxa"/>
            <w:tcBorders>
              <w:left w:sz="4" w:space="0" w:color="auto" w:val="single"/>
              <w:top w:color="auto" w:val="nil"/>
              <w:right w:sz="4" w:space="0" w:color="auto" w:val="single"/>
              <w:bottom w:sz="4" w:space="0" w:color="auto" w:val="single"/>
            </w:tcBorders>
            <w:vAlign w:val="center"/>
            <w:hideMark/>
          </w:tcPr>
          <w:p>
            <w:pPr>
              <w:spacing w:line="276" w:lineRule="auto"/>
              <w:rPr>
                <w:sz w:val="28"/>
              </w:rPr>
            </w:pPr>
          </w:p>
        </w:tc>
        <w:tc>
          <w:tcPr>
            <w:tcW w:w="2220" w:type="dxa"/>
            <w:tcBorders>
              <w:left w:sz="4" w:space="0" w:color="auto" w:val="single"/>
              <w:top w:color="auto" w:val="nil"/>
              <w:right w:sz="4" w:space="0" w:color="auto" w:val="single"/>
              <w:bottom w:sz="4" w:space="0" w:color="auto" w:val="single"/>
            </w:tcBorders>
            <w:vAlign w:val="center"/>
            <w:hideMark/>
          </w:tcPr>
          <w:p>
            <w:pPr>
              <w:jc w:val="center"/>
              <w:ind w:left="372"/>
              <w:spacing w:line="276" w:lineRule="auto"/>
              <w:rPr>
                <w:b/>
                <w:sz w:val="28"/>
              </w:rPr>
            </w:pPr>
          </w:p>
        </w:tc>
      </w:tr>
    </w:tbl>
    <w:p>
      <w:pPr>
        <w:jc w:val="both"/>
        <w:ind w:firstLine="652"/>
        <w:spacing w:line="276" w:lineRule="auto"/>
        <w:rPr>
          <w:sz w:val="28"/>
        </w:rPr>
      </w:pPr>
    </w:p>
    <w:p>
      <w:pPr>
        <w:jc w:val="both"/>
        <w:ind w:firstLine="652"/>
        <w:spacing w:line="276" w:lineRule="auto"/>
        <w:rPr>
          <w:b/>
          <w:sz w:val="28"/>
        </w:rPr>
      </w:pPr>
      <w:r>
        <w:rPr>
          <w:sz w:val="28"/>
        </w:rPr>
        <w:t xml:space="preserve">2.1. Shartnomaning umumiy qiymati QQS bilan </w:t>
      </w:r>
      <w:r>
        <w:rPr>
          <w:vanish w:val="false"/>
          <w:sz w:val="28"/>
          <w:rFonts w:ascii="Times New Roman" w:hAnsi="Times New Roman"/>
        </w:rPr>
        <w:fldChar w:fldCharType="begin"/>
        <w:instrText xml:space="preserve">X {"Y":29}</w:instrText>
        <w:fldChar w:fldCharType="separate"/>
        <w:t xml:space="preserve">Shartnomaning umumiy qiymati (QQS qo‘shib hisoblanganda)</w:t>
      </w:r>
      <w:r>
        <w:rPr>
          <w:vanish w:val="false"/>
          <w:sz w:val="28"/>
          <w:rFonts w:ascii="Times New Roman" w:hAnsi="Times New Roman"/>
        </w:rPr>
        <w:fldChar w:fldCharType="end"/>
      </w:r>
      <w:r>
        <w:rPr>
          <w:sz w:val="28"/>
        </w:rPr>
        <w:t xml:space="preserve"> soʻmni tashkil etadi.</w:t>
      </w:r>
    </w:p>
    <w:p>
      <w:pPr>
        <w:jc w:val="center"/>
        <w:ind w:right="-1" w:firstLine="284"/>
        <w:spacing w:line="276" w:lineRule="auto"/>
        <w:rPr>
          <w:b/>
          <w:sz w:val="28"/>
        </w:rPr>
      </w:pPr>
    </w:p>
    <w:p>
      <w:pPr>
        <w:jc w:val="center"/>
        <w:ind w:right="-1"/>
        <w:spacing w:line="276" w:lineRule="auto"/>
        <w:rPr>
          <w:b/>
          <w:sz w:val="28"/>
        </w:rPr>
      </w:pPr>
      <w:r>
        <w:rPr>
          <w:b/>
          <w:sz w:val="28"/>
        </w:rPr>
        <w:t xml:space="preserve">3. TOʻLOVLAR VA HISOB-KITOBLAR</w:t>
      </w:r>
    </w:p>
    <w:p>
      <w:pPr>
        <w:jc w:val="both"/>
        <w:ind w:firstLine="652"/>
        <w:spacing w:line="276" w:lineRule="auto"/>
        <w:rPr>
          <w:sz w:val="28"/>
        </w:rPr>
      </w:pPr>
      <w:r>
        <w:rPr>
          <w:sz w:val="28"/>
        </w:rPr>
        <w:t xml:space="preserve">3.1. “Buyurtmachi” “Ijrochi”ga shartnoma boʻyicha yetkazib beriladigan tovarlar (ishlar, xizmatlar) qiymatining </w:t>
      </w:r>
      <w:r>
        <w:rPr>
          <w:vanish w:val="false"/>
          <w:sz w:val="28"/>
          <w:rFonts w:ascii="Times New Roman" w:hAnsi="Times New Roman"/>
        </w:rPr>
        <w:fldChar w:fldCharType="begin"/>
        <w:instrText xml:space="preserve">X {"Y":30}</w:instrText>
        <w:fldChar w:fldCharType="separate"/>
        <w:t xml:space="preserve">Yetkazib beriladigan tovarlar (ishlar, xizmatlar) uchun oldindan to‘lanishi kerak bo‘lgan mablag‘ miqdori</w:t>
      </w:r>
      <w:r>
        <w:rPr>
          <w:vanish w:val="false"/>
          <w:sz w:val="28"/>
          <w:rFonts w:ascii="Times New Roman" w:hAnsi="Times New Roman"/>
        </w:rPr>
        <w:fldChar w:fldCharType="end"/>
      </w:r>
      <w:r>
        <w:rPr>
          <w:sz w:val="28"/>
        </w:rPr>
        <w:t xml:space="preserve"> soʻm mikdorida mablagʻni oldindan oʻtkazib beradi. </w:t>
      </w:r>
    </w:p>
    <w:p>
      <w:pPr>
        <w:jc w:val="both"/>
        <w:ind w:firstLine="652"/>
        <w:spacing w:line="276" w:lineRule="auto"/>
        <w:rPr>
          <w:sz w:val="28"/>
        </w:rPr>
      </w:pPr>
      <w:r>
        <w:rPr>
          <w:sz w:val="28"/>
        </w:rPr>
        <w:t xml:space="preserve">“Buyurtmachi” qolgan shartnoma boʻyicha yetkazib beriladigan tovarlar (ishlar, xizmatlar) qiymatining </w:t>
      </w:r>
      <w:r>
        <w:rPr>
          <w:vanish w:val="false"/>
          <w:sz w:val="28"/>
          <w:rFonts w:ascii="Times New Roman" w:hAnsi="Times New Roman"/>
        </w:rPr>
        <w:fldChar w:fldCharType="begin"/>
        <w:instrText xml:space="preserve">X {"Y":31}</w:instrText>
        <w:fldChar w:fldCharType="separate"/>
        <w:t xml:space="preserve">Shartnoma bo‘yicha qolgan yetkazib beriladigan tovarlar (ishlar, xizmatlar) uchun to‘lanadigan to‘lov qiymati</w:t>
      </w:r>
      <w:r>
        <w:rPr>
          <w:vanish w:val="false"/>
          <w:sz w:val="28"/>
          <w:rFonts w:ascii="Times New Roman" w:hAnsi="Times New Roman"/>
        </w:rPr>
        <w:fldChar w:fldCharType="end"/>
      </w:r>
      <w:r>
        <w:rPr>
          <w:sz w:val="28"/>
        </w:rPr>
        <w:t xml:space="preserve"> soʻm toʻlovni tovarlar (ishlar, xizmatlar)ni qabul qilib olganidan soʻng </w:t>
      </w:r>
      <w:r>
        <w:rPr>
          <w:vanish w:val="false"/>
          <w:sz w:val="28"/>
          <w:rFonts w:ascii="Times New Roman" w:hAnsi="Times New Roman"/>
        </w:rPr>
        <w:fldChar w:fldCharType="begin"/>
        <w:instrText xml:space="preserve">X {"Y":32}</w:instrText>
        <w:fldChar w:fldCharType="separate"/>
        <w:t xml:space="preserve">Shartnoma bo‘yicha qolgan yetkazib beriladigan tovarlar (ishlar, xizmatlar) uchun to‘lanadigan to‘lov qiymati o‘tkazib beriladigan muddat</w:t>
      </w:r>
      <w:r>
        <w:rPr>
          <w:vanish w:val="false"/>
          <w:sz w:val="28"/>
          <w:rFonts w:ascii="Times New Roman" w:hAnsi="Times New Roman"/>
        </w:rPr>
        <w:fldChar w:fldCharType="end"/>
      </w:r>
      <w:r>
        <w:rPr>
          <w:sz w:val="28"/>
        </w:rPr>
        <w:t xml:space="preserve"> ish kuni ichida amalga oshiradi.</w:t>
      </w:r>
    </w:p>
    <w:p>
      <w:pPr>
        <w:jc w:val="center"/>
        <w:ind w:firstLine="284"/>
        <w:spacing w:line="276" w:lineRule="auto"/>
        <w:rPr>
          <w:b/>
          <w:sz w:val="28"/>
        </w:rPr>
      </w:pPr>
    </w:p>
    <w:p>
      <w:pPr>
        <w:jc w:val="center"/>
        <w:spacing w:line="276" w:lineRule="auto"/>
        <w:rPr>
          <w:b/>
          <w:sz w:val="28"/>
        </w:rPr>
      </w:pPr>
      <w:r>
        <w:rPr>
          <w:b/>
          <w:sz w:val="28"/>
        </w:rPr>
        <w:t xml:space="preserve">4. TOVARLARNI YETKAZIB BERISH TARTIBI</w:t>
      </w:r>
    </w:p>
    <w:p>
      <w:pPr>
        <w:jc w:val="both"/>
        <w:ind w:firstLine="652"/>
        <w:spacing w:line="276" w:lineRule="auto"/>
        <w:rPr>
          <w:sz w:val="28"/>
        </w:rPr>
      </w:pPr>
      <w:r>
        <w:rPr>
          <w:sz w:val="28"/>
        </w:rPr>
        <w:t>4.1.</w:t>
      </w:r>
      <w:r>
        <w:rPr>
          <w:b/>
          <w:sz w:val="28"/>
        </w:rPr>
        <w:t> </w:t>
      </w:r>
      <w:r>
        <w:rPr>
          <w:sz w:val="28"/>
        </w:rPr>
        <w:t xml:space="preserve">“Ijrochi” tomonidan shartnoma boʻyicha tovarlar (ishlar, xizmatlar)ni “Buyurtmachi”ga yetkazib berish yoʻli bilan amalga oshiriladi.</w:t>
      </w:r>
    </w:p>
    <w:p>
      <w:pPr>
        <w:jc w:val="both"/>
        <w:ind w:firstLine="652"/>
        <w:spacing w:line="276" w:lineRule="auto"/>
        <w:rPr>
          <w:sz w:val="28"/>
        </w:rPr>
      </w:pPr>
      <w:r>
        <w:rPr>
          <w:sz w:val="28"/>
        </w:rPr>
        <w:t xml:space="preserve">4.2. “Ijrochi” “Buyurtmachi”ga shartnoma Respublika Gʻaznachiligidan roʻyxatdan oʻtgandan soʻng shartnoma boʻyicha yetkazib beriladigan tovarlar (ishlar, xizmatlar)ni </w:t>
      </w:r>
      <w:r>
        <w:rPr>
          <w:vanish w:val="false"/>
          <w:sz w:val="28"/>
          <w:rFonts w:ascii="Times New Roman" w:hAnsi="Times New Roman"/>
        </w:rPr>
        <w:fldChar w:fldCharType="begin"/>
        <w:instrText xml:space="preserve">X {"Y":33}</w:instrText>
        <w:fldChar w:fldCharType="separate"/>
        <w:t xml:space="preserve">Shartnoma Respublika G‘aznachiligidan ro‘yxatdan o‘tgandan so‘ng shartnoma bo‘yicha yetkazib beriladigan tovarlar (ishlar, xizmatlar)ni to‘liq yetkazib berishi hamda o‘rnatish muddati</w:t>
      </w:r>
      <w:r>
        <w:rPr>
          <w:vanish w:val="false"/>
          <w:sz w:val="28"/>
          <w:rFonts w:ascii="Times New Roman" w:hAnsi="Times New Roman"/>
        </w:rPr>
        <w:fldChar w:fldCharType="end"/>
      </w:r>
      <w:r>
        <w:rPr>
          <w:sz w:val="28"/>
        </w:rPr>
        <w:t xml:space="preserve"> ish kunida toʻliq yetkazib berishi hamda oʻrnatishi lozim.</w:t>
      </w:r>
    </w:p>
    <w:p>
      <w:pPr>
        <w:jc w:val="both"/>
        <w:ind w:firstLine="652"/>
        <w:spacing w:line="276" w:lineRule="auto"/>
        <w:rPr>
          <w:sz w:val="28"/>
        </w:rPr>
      </w:pPr>
      <w:r>
        <w:rPr>
          <w:sz w:val="28"/>
        </w:rPr>
        <w:t xml:space="preserve">4.3. “Buyurtmachi” shartnomaga muvofiq yetkazib berilgan tovarlar (ishlar, xizmatlar)ni qabul qilinishini taʼminlaydigan barcha zarur harakatlarni amalga oshirishi lozim.</w:t>
      </w:r>
    </w:p>
    <w:p>
      <w:pPr>
        <w:jc w:val="both"/>
        <w:ind w:firstLine="652"/>
        <w:spacing w:line="276" w:lineRule="auto"/>
        <w:rPr>
          <w:sz w:val="28"/>
        </w:rPr>
      </w:pPr>
      <w:r>
        <w:rPr>
          <w:sz w:val="28"/>
        </w:rPr>
        <w:t xml:space="preserve">“Buyurtmachi” tovarlar (ishlar, xizmatlar)ni yetkazib berilganidan keyin darhol koʻzdan kechirishi, agarda yetkazib berish bilan bogʻliq kamchiliklar aniqlangan taqdirda, “Ijrochi”ni zudlik bilan yozma ravishda xabardor qilishi lozim.</w:t>
      </w:r>
    </w:p>
    <w:p>
      <w:pPr>
        <w:jc w:val="center"/>
        <w:ind w:firstLine="652"/>
        <w:spacing w:line="276" w:lineRule="auto"/>
        <w:rPr>
          <w:sz w:val="28"/>
        </w:rPr>
      </w:pPr>
    </w:p>
    <w:p>
      <w:pPr>
        <w:jc w:val="center"/>
        <w:spacing w:line="276" w:lineRule="auto"/>
        <w:rPr>
          <w:b/>
          <w:sz w:val="28"/>
        </w:rPr>
      </w:pPr>
      <w:r>
        <w:rPr>
          <w:b/>
          <w:sz w:val="28"/>
        </w:rPr>
        <w:t xml:space="preserve">5. SHARTNOMA TARAFLARINING HUQUQ VA MAJBURIYATLARI</w:t>
      </w:r>
    </w:p>
    <w:p>
      <w:pPr>
        <w:jc w:val="both"/>
        <w:ind w:firstLine="652"/>
        <w:spacing w:line="276" w:lineRule="auto"/>
        <w:rPr>
          <w:sz w:val="28"/>
        </w:rPr>
      </w:pPr>
      <w:r>
        <w:rPr>
          <w:sz w:val="28"/>
        </w:rPr>
        <w:t xml:space="preserve">5.1. “Ijrochi”ning huquqlari:</w:t>
      </w:r>
    </w:p>
    <w:p>
      <w:pPr>
        <w:jc w:val="both"/>
        <w:ind w:firstLine="652"/>
        <w:spacing w:line="276" w:lineRule="auto"/>
        <w:rPr>
          <w:sz w:val="28"/>
        </w:rPr>
      </w:pPr>
      <w:r>
        <w:rPr>
          <w:sz w:val="28"/>
        </w:rPr>
        <w:t xml:space="preserve">yetkazib berilgan tovarning haqini toʻlashni;</w:t>
      </w:r>
    </w:p>
    <w:p>
      <w:pPr>
        <w:jc w:val="both"/>
        <w:ind w:firstLine="652"/>
        <w:spacing w:line="276" w:lineRule="auto"/>
        <w:rPr>
          <w:sz w:val="28"/>
        </w:rPr>
      </w:pPr>
      <w:r>
        <w:rPr>
          <w:sz w:val="28"/>
        </w:rPr>
        <w:t xml:space="preserve">tovarni oʻz vaqtida qabul qilib olishni;</w:t>
      </w:r>
    </w:p>
    <w:p>
      <w:pPr>
        <w:jc w:val="both"/>
        <w:ind w:firstLine="652"/>
        <w:spacing w:line="276" w:lineRule="auto"/>
        <w:rPr>
          <w:sz w:val="28"/>
        </w:rPr>
      </w:pPr>
      <w:r>
        <w:rPr>
          <w:sz w:val="28"/>
        </w:rPr>
        <w:t xml:space="preserve">shartnoma shartlariga toʻliq rioya etishni;</w:t>
      </w:r>
    </w:p>
    <w:p>
      <w:pPr>
        <w:jc w:val="both"/>
        <w:ind w:firstLine="652"/>
        <w:spacing w:line="276" w:lineRule="auto"/>
        <w:rPr>
          <w:sz w:val="28"/>
        </w:rPr>
      </w:pPr>
      <w:r>
        <w:rPr>
          <w:sz w:val="28"/>
        </w:rPr>
        <w:t xml:space="preserve">“Buyurtmachi”dan oʻziga yetkazilgan zararlarning qoplanishini talab qilish.</w:t>
      </w:r>
    </w:p>
    <w:p>
      <w:pPr>
        <w:jc w:val="both"/>
        <w:ind w:firstLine="652"/>
        <w:spacing w:line="276" w:lineRule="auto"/>
        <w:rPr>
          <w:sz w:val="28"/>
        </w:rPr>
      </w:pPr>
      <w:r>
        <w:rPr>
          <w:vanish w:val="false"/>
          <w:sz w:val="28"/>
          <w:rFonts w:ascii="Times New Roman" w:hAnsi="Times New Roman"/>
        </w:rPr>
        <w:fldChar w:fldCharType="begin"/>
        <w:instrText xml:space="preserve">X {"Y":34}</w:instrText>
        <w:fldChar w:fldCharType="separate"/>
        <w:t xml:space="preserve">Ijrochining boshqa huquqlari</w:t>
      </w:r>
      <w:r>
        <w:rPr>
          <w:vanish w:val="false"/>
          <w:sz w:val="28"/>
          <w:rFonts w:ascii="Times New Roman" w:hAnsi="Times New Roman"/>
        </w:rPr>
        <w:fldChar w:fldCharType="end"/>
      </w:r>
    </w:p>
    <w:p>
      <w:pPr>
        <w:jc w:val="both"/>
        <w:ind w:firstLine="652"/>
        <w:spacing w:line="276" w:lineRule="auto"/>
        <w:rPr>
          <w:sz w:val="28"/>
        </w:rPr>
      </w:pPr>
      <w:r>
        <w:rPr>
          <w:sz w:val="28"/>
        </w:rPr>
        <w:t xml:space="preserve">5.2. “Ijrochi”ning majburiyatlari:</w:t>
      </w:r>
    </w:p>
    <w:p>
      <w:pPr>
        <w:jc w:val="both"/>
        <w:ind w:firstLine="652"/>
        <w:spacing w:line="276" w:lineRule="auto"/>
        <w:rPr>
          <w:sz w:val="28"/>
        </w:rPr>
      </w:pPr>
      <w:r>
        <w:rPr>
          <w:sz w:val="28"/>
        </w:rPr>
        <w:t xml:space="preserve">tovarni “Buyurtmachi”ga mulk qilib topshirish;</w:t>
      </w:r>
    </w:p>
    <w:p>
      <w:pPr>
        <w:jc w:val="both"/>
        <w:ind w:firstLine="652"/>
        <w:spacing w:line="276" w:lineRule="auto"/>
        <w:rPr>
          <w:sz w:val="28"/>
        </w:rPr>
      </w:pPr>
      <w:r>
        <w:rPr>
          <w:sz w:val="28"/>
        </w:rPr>
        <w:t xml:space="preserve">shartnomada nazarda tutilgan tovarlar (ishlar, xizmatlar)ni topshirish;</w:t>
      </w:r>
    </w:p>
    <w:p>
      <w:pPr>
        <w:jc w:val="both"/>
        <w:ind w:firstLine="652"/>
        <w:spacing w:line="276" w:lineRule="auto"/>
        <w:rPr>
          <w:sz w:val="28"/>
        </w:rPr>
      </w:pPr>
      <w:r>
        <w:rPr>
          <w:sz w:val="28"/>
        </w:rPr>
        <w:t xml:space="preserve">shartnomada koʻrsatilgan miqdordagi tovarni topshirish;</w:t>
      </w:r>
    </w:p>
    <w:p>
      <w:pPr>
        <w:jc w:val="both"/>
        <w:ind w:firstLine="652"/>
        <w:spacing w:line="276" w:lineRule="auto"/>
        <w:rPr>
          <w:sz w:val="28"/>
        </w:rPr>
      </w:pPr>
      <w:r>
        <w:rPr>
          <w:sz w:val="28"/>
        </w:rPr>
        <w:t xml:space="preserve">shartnomada koʻrsatilgan sifatdagi tovarlarni topshirish va ishlar (xizmatlar)ni koʻrsatish;</w:t>
      </w:r>
    </w:p>
    <w:p>
      <w:pPr>
        <w:jc w:val="both"/>
        <w:ind w:firstLine="652"/>
        <w:spacing w:line="276" w:lineRule="auto"/>
        <w:rPr>
          <w:sz w:val="28"/>
        </w:rPr>
      </w:pPr>
      <w:r>
        <w:rPr>
          <w:sz w:val="28"/>
        </w:rPr>
        <w:t xml:space="preserve">shartnomada koʻrsatilgan muddatda tovarni topshirish va ishlar (xizmatlar)ni koʻrsatish;</w:t>
      </w:r>
    </w:p>
    <w:p>
      <w:pPr>
        <w:jc w:val="both"/>
        <w:ind w:firstLine="652"/>
        <w:spacing w:line="276" w:lineRule="auto"/>
        <w:rPr>
          <w:sz w:val="28"/>
        </w:rPr>
      </w:pPr>
      <w:r>
        <w:rPr>
          <w:sz w:val="28"/>
        </w:rPr>
        <w:t xml:space="preserve">uchinchi shaxslarning har qanday huquqlaridan holi boʻlgan tovarni topshirish;</w:t>
      </w:r>
    </w:p>
    <w:p>
      <w:pPr>
        <w:jc w:val="both"/>
        <w:ind w:firstLine="652"/>
        <w:spacing w:line="276" w:lineRule="auto"/>
        <w:rPr>
          <w:sz w:val="28"/>
        </w:rPr>
      </w:pPr>
      <w:r>
        <w:rPr>
          <w:sz w:val="28"/>
        </w:rPr>
        <w:t xml:space="preserve">ishlar (xizmatlar) boʻyicha bir yil mobaynida texnik xizmat koʻrsatish;</w:t>
      </w:r>
    </w:p>
    <w:p>
      <w:pPr>
        <w:jc w:val="both"/>
        <w:ind w:firstLine="652"/>
        <w:spacing w:line="276" w:lineRule="auto"/>
        <w:rPr>
          <w:sz w:val="28"/>
        </w:rPr>
      </w:pPr>
      <w:r>
        <w:rPr>
          <w:sz w:val="28"/>
        </w:rPr>
        <w:t xml:space="preserve">tovarni “Buyurtmachi”ga topshirgunga qadar saqlash;</w:t>
      </w:r>
    </w:p>
    <w:p>
      <w:pPr>
        <w:jc w:val="both"/>
        <w:ind w:firstLine="652"/>
        <w:spacing w:line="276" w:lineRule="auto"/>
        <w:rPr>
          <w:sz w:val="28"/>
        </w:rPr>
      </w:pPr>
      <w:r>
        <w:rPr>
          <w:vanish w:val="false"/>
          <w:sz w:val="28"/>
          <w:rFonts w:ascii="Times New Roman" w:hAnsi="Times New Roman"/>
        </w:rPr>
        <w:fldChar w:fldCharType="begin"/>
        <w:instrText xml:space="preserve">X {"Y":35}</w:instrText>
        <w:fldChar w:fldCharType="separate"/>
        <w:t xml:space="preserve">Ijrochining boshqa majburiyatlari</w:t>
      </w:r>
      <w:r>
        <w:rPr>
          <w:vanish w:val="false"/>
          <w:sz w:val="28"/>
          <w:rFonts w:ascii="Times New Roman" w:hAnsi="Times New Roman"/>
        </w:rPr>
        <w:fldChar w:fldCharType="end"/>
      </w:r>
    </w:p>
    <w:p>
      <w:pPr>
        <w:jc w:val="both"/>
        <w:ind w:firstLine="652"/>
        <w:spacing w:line="276" w:lineRule="auto"/>
        <w:rPr>
          <w:sz w:val="28"/>
        </w:rPr>
      </w:pPr>
      <w:r>
        <w:rPr>
          <w:sz w:val="28"/>
        </w:rPr>
        <w:t xml:space="preserve">5.3. “Buyurtmachi”ning huquqlari:</w:t>
      </w:r>
    </w:p>
    <w:p>
      <w:pPr>
        <w:jc w:val="both"/>
        <w:ind w:firstLine="652"/>
        <w:spacing w:line="276" w:lineRule="auto"/>
        <w:rPr>
          <w:sz w:val="28"/>
        </w:rPr>
      </w:pPr>
      <w:r>
        <w:rPr>
          <w:sz w:val="28"/>
        </w:rPr>
        <w:t xml:space="preserve">tovarlar (ishlar, xizmatlar)ni oʻziga mulk qilib topshirishni;</w:t>
      </w:r>
    </w:p>
    <w:p>
      <w:pPr>
        <w:jc w:val="both"/>
        <w:ind w:firstLine="652"/>
        <w:spacing w:line="276" w:lineRule="auto"/>
        <w:rPr>
          <w:sz w:val="28"/>
        </w:rPr>
      </w:pPr>
      <w:r>
        <w:rPr>
          <w:sz w:val="28"/>
        </w:rPr>
        <w:t xml:space="preserve">shartnomada koʻrsatilgan miqdordagi tovarni topshirishni va ishlar (xizmatlar)ni koʻrsatishni;</w:t>
      </w:r>
    </w:p>
    <w:p>
      <w:pPr>
        <w:jc w:val="both"/>
        <w:ind w:firstLine="652"/>
        <w:spacing w:line="276" w:lineRule="auto"/>
        <w:rPr>
          <w:sz w:val="28"/>
        </w:rPr>
      </w:pPr>
      <w:r>
        <w:rPr>
          <w:sz w:val="28"/>
        </w:rPr>
        <w:t xml:space="preserve">shartnomada koʻrsatilgan sifatdagi tovarni topshirishni va ishlar (xizmatlar)ni koʻrsatishni ;</w:t>
      </w:r>
    </w:p>
    <w:p>
      <w:pPr>
        <w:jc w:val="both"/>
        <w:ind w:firstLine="652"/>
        <w:spacing w:line="276" w:lineRule="auto"/>
        <w:rPr>
          <w:sz w:val="28"/>
        </w:rPr>
      </w:pPr>
      <w:r>
        <w:rPr>
          <w:sz w:val="28"/>
        </w:rPr>
        <w:t xml:space="preserve">shartnomada koʻrsatilgan muddatda tovarni topshirishni;</w:t>
      </w:r>
    </w:p>
    <w:p>
      <w:pPr>
        <w:jc w:val="both"/>
        <w:ind w:firstLine="652"/>
        <w:spacing w:line="276" w:lineRule="auto"/>
        <w:rPr>
          <w:sz w:val="28"/>
        </w:rPr>
      </w:pPr>
      <w:r>
        <w:rPr>
          <w:sz w:val="28"/>
        </w:rPr>
        <w:t xml:space="preserve">uchinchi shaxslarning huquqlaridan holi boʻlgan tovarni topshirishni talab qilish;</w:t>
      </w:r>
    </w:p>
    <w:p>
      <w:pPr>
        <w:jc w:val="both"/>
        <w:ind w:firstLine="652"/>
        <w:spacing w:line="276" w:lineRule="auto"/>
        <w:rPr>
          <w:sz w:val="28"/>
        </w:rPr>
      </w:pPr>
      <w:r>
        <w:rPr>
          <w:vanish w:val="false"/>
          <w:sz w:val="28"/>
          <w:rFonts w:ascii="Times New Roman" w:hAnsi="Times New Roman"/>
        </w:rPr>
        <w:fldChar w:fldCharType="begin"/>
        <w:instrText xml:space="preserve">X {"Y":36}</w:instrText>
        <w:fldChar w:fldCharType="separate"/>
        <w:t xml:space="preserve">Buyurtmachining boshqa huquqlari</w:t>
      </w:r>
      <w:r>
        <w:rPr>
          <w:vanish w:val="false"/>
          <w:sz w:val="28"/>
          <w:rFonts w:ascii="Times New Roman" w:hAnsi="Times New Roman"/>
        </w:rPr>
        <w:fldChar w:fldCharType="end"/>
      </w:r>
    </w:p>
    <w:p>
      <w:pPr>
        <w:jc w:val="both"/>
        <w:ind w:firstLine="652"/>
        <w:spacing w:line="276" w:lineRule="auto"/>
        <w:rPr>
          <w:sz w:val="28"/>
        </w:rPr>
      </w:pPr>
      <w:r>
        <w:rPr>
          <w:sz w:val="28"/>
        </w:rPr>
        <w:t xml:space="preserve">5.4. “Buyurtmachi”ning majburiyatlari:</w:t>
      </w:r>
    </w:p>
    <w:p>
      <w:pPr>
        <w:jc w:val="both"/>
        <w:ind w:firstLine="652"/>
        <w:spacing w:line="276" w:lineRule="auto"/>
        <w:rPr>
          <w:sz w:val="28"/>
        </w:rPr>
      </w:pPr>
      <w:r>
        <w:rPr>
          <w:sz w:val="28"/>
        </w:rPr>
        <w:t xml:space="preserve">tovarlar (ishlar, xizmatlar) haqini oʻz vaqtida toʻlash;</w:t>
      </w:r>
    </w:p>
    <w:p>
      <w:pPr>
        <w:jc w:val="both"/>
        <w:ind w:firstLine="652"/>
        <w:spacing w:line="276" w:lineRule="auto"/>
        <w:rPr>
          <w:sz w:val="28"/>
        </w:rPr>
      </w:pPr>
      <w:r>
        <w:rPr>
          <w:sz w:val="28"/>
        </w:rPr>
        <w:t xml:space="preserve">tovarlar (ishlar, xizmatlar)ni oʻz vaqtida qabul qilib olish;</w:t>
      </w:r>
    </w:p>
    <w:p>
      <w:pPr>
        <w:jc w:val="both"/>
        <w:ind w:firstLine="652"/>
        <w:spacing w:line="276" w:lineRule="auto"/>
        <w:rPr>
          <w:sz w:val="28"/>
        </w:rPr>
      </w:pPr>
      <w:r>
        <w:rPr>
          <w:sz w:val="28"/>
        </w:rPr>
        <w:t xml:space="preserve">shartnoma shartlariga toʻliq rioya etish;</w:t>
      </w:r>
    </w:p>
    <w:p>
      <w:pPr>
        <w:jc w:val="both"/>
        <w:ind w:firstLine="652"/>
        <w:spacing w:line="276" w:lineRule="auto"/>
        <w:rPr>
          <w:sz w:val="28"/>
        </w:rPr>
      </w:pPr>
      <w:r>
        <w:rPr>
          <w:sz w:val="28"/>
        </w:rPr>
        <w:t xml:space="preserve">“Ijrochi”ga yetkazilgan zararni qoplash;</w:t>
      </w:r>
    </w:p>
    <w:p>
      <w:pPr>
        <w:jc w:val="both"/>
        <w:ind w:firstLine="652"/>
        <w:spacing w:line="276" w:lineRule="auto"/>
        <w:rPr>
          <w:sz w:val="28"/>
        </w:rPr>
      </w:pPr>
      <w:r>
        <w:rPr>
          <w:vanish w:val="false"/>
          <w:sz w:val="28"/>
          <w:rFonts w:ascii="Times New Roman" w:hAnsi="Times New Roman"/>
        </w:rPr>
        <w:fldChar w:fldCharType="begin"/>
        <w:instrText xml:space="preserve">X {"Y":37}</w:instrText>
        <w:fldChar w:fldCharType="separate"/>
        <w:t xml:space="preserve">Buyurtmachining boshqa majburiyatlari</w:t>
      </w:r>
      <w:r>
        <w:rPr>
          <w:vanish w:val="false"/>
          <w:sz w:val="28"/>
          <w:rFonts w:ascii="Times New Roman" w:hAnsi="Times New Roman"/>
        </w:rPr>
        <w:fldChar w:fldCharType="end"/>
      </w:r>
    </w:p>
    <w:p>
      <w:pPr>
        <w:jc w:val="center"/>
        <w:spacing w:line="276" w:lineRule="auto"/>
        <w:rPr>
          <w:b/>
          <w:sz w:val="28"/>
        </w:rPr>
      </w:pPr>
    </w:p>
    <w:p>
      <w:pPr>
        <w:jc w:val="center"/>
        <w:spacing w:line="276" w:lineRule="auto"/>
        <w:rPr>
          <w:b/>
          <w:sz w:val="28"/>
        </w:rPr>
      </w:pPr>
      <w:r>
        <w:rPr>
          <w:b/>
          <w:sz w:val="28"/>
        </w:rPr>
        <w:t xml:space="preserve">6. SHARTNOMA BOʻYICHA JAVOBGARLIK</w:t>
      </w:r>
    </w:p>
    <w:p>
      <w:pPr>
        <w:jc w:val="both"/>
        <w:ind w:firstLine="652"/>
        <w:spacing w:line="276" w:lineRule="auto"/>
        <w:rPr>
          <w:sz w:val="28"/>
        </w:rPr>
      </w:pPr>
      <w:r>
        <w:rPr>
          <w:sz w:val="28"/>
        </w:rPr>
        <w:t xml:space="preserve">6.1. Taraflardan biri shartnoma majburiyatlarini bajarmagan yoki zarur darajada bajarmagan taqdirda aybdor tomon:</w:t>
      </w:r>
    </w:p>
    <w:p>
      <w:pPr>
        <w:jc w:val="both"/>
        <w:ind w:firstLine="652"/>
        <w:spacing w:line="276" w:lineRule="auto"/>
        <w:rPr>
          <w:sz w:val="28"/>
        </w:rPr>
      </w:pPr>
      <w:r>
        <w:rPr>
          <w:sz w:val="28"/>
        </w:rPr>
        <w:t xml:space="preserve">ikkinchi tarafga yetkazilgan zararlarni qoplaydi;</w:t>
      </w:r>
    </w:p>
    <w:p>
      <w:pPr>
        <w:jc w:val="both"/>
        <w:ind w:firstLine="652"/>
        <w:spacing w:line="276" w:lineRule="auto"/>
        <w:rPr>
          <w:sz w:val="28"/>
        </w:rPr>
      </w:pPr>
      <w:r>
        <w:rPr>
          <w:sz w:val="28"/>
        </w:rPr>
        <w:t xml:space="preserve">Oʻzbekiston Respublikasi Fuqarolik kodeksida, “Xoʻjalik yurituvchi subyektlar faoliyatining shartnomaviy-huquqiy bazasi toʻgʻrisida”gi Oʻzbekiston Respublikasi Qonunida, boshqa qonunchilik hujjatlarida hamda mazkur shartnomada nazarda tutilgan tartibda boshqacha javobgarlikka tortiladi.</w:t>
      </w:r>
    </w:p>
    <w:p>
      <w:pPr>
        <w:jc w:val="both"/>
        <w:ind w:firstLine="652"/>
        <w:spacing w:line="276" w:lineRule="auto"/>
        <w:rPr>
          <w:sz w:val="28"/>
        </w:rPr>
      </w:pPr>
      <w:r>
        <w:rPr>
          <w:sz w:val="28"/>
        </w:rPr>
        <w:t xml:space="preserve">6.2. Agar “Buyurtmachi”ga uning talabiga koʻra sotish joyida darhol tovar toʻgʻrisidagi axborotni olish imkoni berilmagan yoxud uning tovarlar (ishlar, xizmatlar)ni koʻzdan kechirish, tovarning xossalarini tekshirish yoki tovardan foydalanishni koʻrsatishni talab qilish huquqi taʼminlanmagan boʻlsa, “Buyurtmachi” shartnomani bajarishdan bosh tortishga, tovar uchun toʻlangan summani qaytarishni va zararni qoplashni talab qilishga haqli.</w:t>
      </w:r>
    </w:p>
    <w:p>
      <w:pPr>
        <w:jc w:val="both"/>
        <w:ind w:firstLine="652"/>
        <w:spacing w:line="276" w:lineRule="auto"/>
        <w:rPr>
          <w:sz w:val="28"/>
        </w:rPr>
      </w:pPr>
      <w:r>
        <w:rPr>
          <w:sz w:val="28"/>
        </w:rPr>
        <w:t xml:space="preserve">“Buyurtmachi”ga tovar toʻgʻrisida tegishli axborot olish imkonini bermagan sotuvchi tovar sotib oluvchiga topshirilganidan soʻng tovarda paydo boʻlgan kamchiliklar uchun ham, agar “Buyurtmachi” bu kamchiliklar oʻzida bunday axborot boʻlmagani sababli paydo boʻlganini isbotlasa, “Ijrochi” javobgar boʻladi.</w:t>
      </w:r>
    </w:p>
    <w:p>
      <w:pPr>
        <w:jc w:val="both"/>
        <w:ind w:firstLine="652"/>
        <w:spacing w:line="276" w:lineRule="auto"/>
        <w:rPr>
          <w:sz w:val="28"/>
        </w:rPr>
      </w:pPr>
      <w:r>
        <w:rPr>
          <w:sz w:val="28"/>
        </w:rPr>
        <w:t xml:space="preserve">6.3. Agarda tovar “Buyurtmachi”ga idishsiz va oʻramagan holda yoki tegishli idishga joylamagan va tegishli darajada oʻramagan holda topshirilgan taqdirda, “Buyurtmachi” “Ijrochi”dan tovarni idishga joylashtirish va oʻrashni yoxud tegishli boʻlmagan idish va oʻrashni almashtirishni talab qilish yoki bu talablarni qoʻyish oʻrniga ushbu shartnomaning 5.3-bandi birinchi qismidagi talablarni qoʻyishga haqli.</w:t>
      </w:r>
    </w:p>
    <w:p>
      <w:pPr>
        <w:jc w:val="both"/>
        <w:ind w:firstLine="652"/>
        <w:spacing w:line="276" w:lineRule="auto"/>
        <w:rPr>
          <w:sz w:val="28"/>
        </w:rPr>
      </w:pPr>
      <w:r>
        <w:rPr>
          <w:sz w:val="28"/>
        </w:rPr>
        <w:t xml:space="preserve">6.4. Oʻzbekiston Respublikasi Fuqarolik Kodeksining 434-moddasiga koʻra “Ijrochi” “Buyurtmachi”ga sifati tegishli darajada boʻlmagan tovar sotilganida, agar uning kamchiliklari shartnoma tuzish paytida maʼlum qilinmagan boʻlsa, “Buyurtmachi” oʻz xohishiga koʻra:</w:t>
      </w:r>
    </w:p>
    <w:p>
      <w:pPr>
        <w:jc w:val="both"/>
        <w:ind w:firstLine="652"/>
        <w:spacing w:line="276" w:lineRule="auto"/>
        <w:rPr>
          <w:sz w:val="28"/>
        </w:rPr>
      </w:pPr>
      <w:r>
        <w:rPr>
          <w:sz w:val="28"/>
        </w:rPr>
        <w:t xml:space="preserve">xuddi shu markadagi (modeldagi, artikuldagi) sifati tegishli darajada boʻlgan tovarga almashtirishni;</w:t>
      </w:r>
    </w:p>
    <w:p>
      <w:pPr>
        <w:jc w:val="both"/>
        <w:ind w:firstLine="652"/>
        <w:spacing w:line="276" w:lineRule="auto"/>
        <w:rPr>
          <w:sz w:val="28"/>
        </w:rPr>
      </w:pPr>
      <w:r>
        <w:rPr>
          <w:sz w:val="28"/>
        </w:rPr>
        <w:t xml:space="preserve">xarid narxini tegishincha qayta hisoblagan holda boshqa markadagi (modeldagi, artikuldagi) sifati tegishli darajada boʻlgan tovarga almashtirishni;</w:t>
      </w:r>
    </w:p>
    <w:p>
      <w:pPr>
        <w:jc w:val="both"/>
        <w:ind w:firstLine="652"/>
        <w:spacing w:line="276" w:lineRule="auto"/>
        <w:rPr>
          <w:sz w:val="28"/>
        </w:rPr>
      </w:pPr>
      <w:r>
        <w:rPr>
          <w:sz w:val="28"/>
        </w:rPr>
        <w:t xml:space="preserve">tovarning kamchiliklarini tekinga bartaraf etishni yoki “Buyurtmachi” yoxud uchinchi shaxs tomonidan tovarning kamchiliklarini bartaraf etish uchun qilingan xarajatlar qoplanishini;</w:t>
      </w:r>
    </w:p>
    <w:p>
      <w:pPr>
        <w:jc w:val="both"/>
        <w:ind w:firstLine="652"/>
        <w:spacing w:line="276" w:lineRule="auto"/>
        <w:rPr>
          <w:sz w:val="28"/>
        </w:rPr>
      </w:pPr>
      <w:r>
        <w:rPr>
          <w:sz w:val="28"/>
        </w:rPr>
        <w:t xml:space="preserve">koʻrilgan zarar oʻrnini qoplagan holda shartnoma bekor qilinishini talab qilish huquqiga ega.</w:t>
      </w:r>
    </w:p>
    <w:p>
      <w:pPr>
        <w:jc w:val="both"/>
        <w:ind w:firstLine="652"/>
        <w:spacing w:line="276" w:lineRule="auto"/>
        <w:rPr>
          <w:sz w:val="28"/>
        </w:rPr>
      </w:pPr>
      <w:r>
        <w:rPr>
          <w:sz w:val="28"/>
        </w:rPr>
        <w:t xml:space="preserve">Tovarlar (ishlar, xizmatlar) uchun toʻlangan pul soʻmmasini “Buyurtmachi”ga qaytarish vaqtda “Ijrochi” undan tovardan toʻliq yoki qisman foydalanganligi, tovar koʻrinishi yoʻqolganligi yoki boshqa shunga oʻxshash holatlar tufayli tovar qiymati qancha pasaygan boʻlsa, shuncha summani ushlab qolishga haqli emas.</w:t>
      </w:r>
    </w:p>
    <w:p>
      <w:pPr>
        <w:jc w:val="both"/>
        <w:ind w:firstLine="652"/>
        <w:spacing w:line="276" w:lineRule="auto"/>
        <w:rPr>
          <w:sz w:val="28"/>
        </w:rPr>
      </w:pPr>
      <w:r>
        <w:rPr>
          <w:sz w:val="28"/>
        </w:rPr>
        <w:t xml:space="preserve">6.5. “Ijrochi” shartnoma boʻyicha majburiyatni bajarmagan taqdirda, zararni qoplash va neustoyka toʻlash “Ijrochi”ni majburiyatni asl holida bajarishdan ozod qilmaydi. </w:t>
      </w:r>
    </w:p>
    <w:p>
      <w:pPr>
        <w:jc w:val="both"/>
        <w:ind w:firstLine="652"/>
        <w:spacing w:line="276" w:lineRule="auto"/>
        <w:rPr>
          <w:sz w:val="28"/>
        </w:rPr>
      </w:pPr>
      <w:r>
        <w:rPr>
          <w:sz w:val="28"/>
        </w:rPr>
        <w:t xml:space="preserve">6.6. Agarda “Buyurtmachi” shartnomaning tovarlar miqdori, sifati, idishi va oʻralishi toʻgʻrisidagi shartlari buzilganligi haqida “Ijrochi”ga oʻn kun muddat ichida maʼlum qilmasa, “Ijrochi” shartlar buzilganligi natijasida kelib chiqadigan oqibatlar uchun javobgar boʻlmaydi.</w:t>
      </w:r>
    </w:p>
    <w:p>
      <w:pPr>
        <w:jc w:val="both"/>
        <w:ind w:firstLine="652"/>
        <w:spacing w:line="276" w:lineRule="auto"/>
        <w:rPr>
          <w:sz w:val="28"/>
        </w:rPr>
      </w:pPr>
      <w:r>
        <w:rPr>
          <w:sz w:val="28"/>
        </w:rPr>
        <w:t xml:space="preserve">6.7. Tovarlar (ishlar, xizmatlar)ni toʻliq yetkazib bermaganlik yoki yetkazib berish muddatlarini kechiktirib yuborganlik uchun “Ijrochi”dan neustoyka penya shaklida undiriladi. Bunda penyaning miqdori har bir yetkazib berilmagan yoki yetkazib berish muddatlari buzilgan tovarlar (ishlar, xizmatlar) umumiy summasining </w:t>
      </w:r>
      <w:r>
        <w:rPr>
          <w:vanish w:val="false"/>
          <w:sz w:val="28"/>
          <w:rFonts w:ascii="Times New Roman" w:hAnsi="Times New Roman"/>
        </w:rPr>
        <w:fldChar w:fldCharType="begin"/>
        <w:instrText xml:space="preserve">X {"Y":38}</w:instrText>
        <w:fldChar w:fldCharType="separate"/>
        <w:t xml:space="preserve">Har bir yetkazib berilmagan yoki yetkazib berish muddatlari buzilgan tovarlar (ishlar, xizmatlar) uchun ularning umumiy summasiga nisbatan belgilangan penyaning foiz qiymati</w:t>
      </w:r>
      <w:r>
        <w:rPr>
          <w:vanish w:val="false"/>
          <w:sz w:val="28"/>
          <w:rFonts w:ascii="Times New Roman" w:hAnsi="Times New Roman"/>
        </w:rPr>
        <w:fldChar w:fldCharType="end"/>
      </w:r>
      <w:r>
        <w:rPr>
          <w:sz w:val="28"/>
        </w:rPr>
        <w:t xml:space="preserve"> foizi miqdorida majburiyat amalda bajarilguniga qadar undiriladi. Bunda penyaning umumiy summasi bajarilmagan ishlar qiymatining </w:t>
      </w:r>
      <w:r>
        <w:rPr>
          <w:b/>
          <w:sz w:val="28"/>
        </w:rPr>
        <w:t xml:space="preserve">50 foizidan </w:t>
      </w:r>
      <w:r>
        <w:rPr>
          <w:sz w:val="28"/>
        </w:rPr>
        <w:t xml:space="preserve"> oshmasligi lozim.</w:t>
      </w:r>
    </w:p>
    <w:p>
      <w:pPr>
        <w:jc w:val="both"/>
        <w:ind w:firstLine="652"/>
        <w:spacing w:line="276" w:lineRule="auto"/>
        <w:rPr>
          <w:sz w:val="28"/>
        </w:rPr>
      </w:pPr>
      <w:r>
        <w:rPr>
          <w:sz w:val="28"/>
        </w:rPr>
        <w:t xml:space="preserve">“Buyurtmachi” tomonidan topilgan nuqsonlar va kamchiliklar oʻz vaqtida bartaraf etilmagani uchun “Ijrochi” “Buyurtmachi”ga muddati oʻtkazib yuborilgan har bir kun uchun sifatsiz yetkazib berilgan tovar qiymatining </w:t>
      </w:r>
      <w:r>
        <w:rPr>
          <w:b/>
          <w:sz w:val="28"/>
        </w:rPr>
        <w:t xml:space="preserve">0,4 foizi</w:t>
      </w:r>
      <w:r>
        <w:rPr>
          <w:sz w:val="28"/>
        </w:rPr>
        <w:t xml:space="preserve"> miqdorida penya toʻlaydi, bunda penyaning umumiy summasi sifatsiz bajarilgan ishlar qiymatining </w:t>
      </w:r>
      <w:r>
        <w:rPr>
          <w:b/>
          <w:sz w:val="28"/>
        </w:rPr>
        <w:t xml:space="preserve">50 foizidan</w:t>
      </w:r>
      <w:r>
        <w:rPr>
          <w:sz w:val="28"/>
        </w:rPr>
        <w:t xml:space="preserve"> oshmasligi kerak. Penya toʻlash “Ijrochi”ni ishlarni bajarishning yoki xizmatlar koʻrsatishning kechikishi tufayli yetkazilgan zararlarni qoplashdan ozod qilmaydi.</w:t>
      </w:r>
    </w:p>
    <w:p>
      <w:pPr>
        <w:jc w:val="both"/>
        <w:ind w:firstLine="652"/>
        <w:spacing w:line="276" w:lineRule="auto"/>
        <w:rPr>
          <w:sz w:val="28"/>
        </w:rPr>
      </w:pPr>
      <w:r>
        <w:rPr>
          <w:sz w:val="28"/>
        </w:rPr>
        <w:t xml:space="preserve">Muddat oʻtkazib yuborilganligi yoki majburiyatlarning boshqacha tarzda zarur darajada bajarilmaganligi uchun penya toʻlash tomonlarni ushbu majburiyatlarni bajarishdan ozod qilmaydi.</w:t>
      </w:r>
    </w:p>
    <w:p>
      <w:pPr>
        <w:jc w:val="both"/>
        <w:ind w:firstLine="652"/>
        <w:spacing w:line="276" w:lineRule="auto"/>
        <w:rPr>
          <w:sz w:val="28"/>
        </w:rPr>
      </w:pPr>
      <w:r>
        <w:rPr>
          <w:sz w:val="28"/>
        </w:rPr>
        <w:t xml:space="preserve">6.8. “Buyurtmachi” “Ijrochi”ga tovar uchun toʻlanmagan summani muddati oʻtkazib yuborilgan har bir kun uchun belgilangan muddatda toʻlanmagan summaning </w:t>
      </w:r>
      <w:r>
        <w:rPr>
          <w:b/>
          <w:sz w:val="28"/>
        </w:rPr>
        <w:t>0,4</w:t>
      </w:r>
      <w:r>
        <w:rPr>
          <w:sz w:val="28"/>
        </w:rPr>
        <w:t xml:space="preserve"> foizi miqdorida, ammo kechiktirilgan toʻlov summasining 20 foizidan ortiq boʻlmagan miqdorda penyani toʻlaydi.</w:t>
      </w:r>
    </w:p>
    <w:p>
      <w:pPr>
        <w:jc w:val="both"/>
        <w:ind w:firstLine="652"/>
        <w:spacing w:line="276" w:lineRule="auto"/>
        <w:rPr>
          <w:sz w:val="28"/>
        </w:rPr>
      </w:pPr>
      <w:r>
        <w:rPr>
          <w:sz w:val="28"/>
        </w:rPr>
        <w:t xml:space="preserve">Yetkazib berilgan tovarlar (ishlar, xizmatlar) umumiy summasining </w:t>
      </w:r>
      <w:r>
        <w:rPr>
          <w:vanish w:val="false"/>
          <w:sz w:val="28"/>
          <w:rFonts w:ascii="Times New Roman" w:hAnsi="Times New Roman"/>
        </w:rPr>
        <w:fldChar w:fldCharType="begin"/>
        <w:instrText xml:space="preserve">X {"Y":39}</w:instrText>
        <w:fldChar w:fldCharType="separate"/>
        <w:t xml:space="preserve">Majburiyat amalda bajarilguniga qadar undiriladigan pul miqdori (Yetkazib berilgan tovarlar (ishlar, xizmatlar) umumiy summasidan kelib chiqqan holda foizda)</w:t>
      </w:r>
      <w:r>
        <w:rPr>
          <w:vanish w:val="false"/>
          <w:sz w:val="28"/>
          <w:rFonts w:ascii="Times New Roman" w:hAnsi="Times New Roman"/>
        </w:rPr>
        <w:fldChar w:fldCharType="end"/>
      </w:r>
      <w:r>
        <w:rPr>
          <w:sz w:val="28"/>
        </w:rPr>
        <w:t xml:space="preserve"> foizi miqdorida majburiyat amalda bajarilguniga qadar undiriladi. Bunda penyaning umumiy summasi bajarilmagan ishlar qiymatining </w:t>
      </w:r>
      <w:r>
        <w:rPr>
          <w:vanish w:val="false"/>
          <w:sz w:val="28"/>
          <w:rFonts w:ascii="Times New Roman" w:hAnsi="Times New Roman"/>
        </w:rPr>
        <w:fldChar w:fldCharType="begin"/>
        <w:instrText xml:space="preserve">X {"Y":40}</w:instrText>
        <w:fldChar w:fldCharType="separate"/>
        <w:t xml:space="preserve">Bajarilmagan ishlar qiymati uchun belgilangan penya miqdorining chegara qiymati (foizda)</w:t>
      </w:r>
      <w:r>
        <w:rPr>
          <w:vanish w:val="false"/>
          <w:sz w:val="28"/>
          <w:rFonts w:ascii="Times New Roman" w:hAnsi="Times New Roman"/>
        </w:rPr>
        <w:fldChar w:fldCharType="end"/>
      </w:r>
      <w:r>
        <w:rPr>
          <w:sz w:val="28"/>
        </w:rPr>
        <w:t xml:space="preserve"> foizidan oshmasligi lozim.</w:t>
      </w:r>
    </w:p>
    <w:p>
      <w:pPr>
        <w:jc w:val="center"/>
        <w:spacing w:line="276" w:lineRule="auto"/>
        <w:rPr>
          <w:sz w:val="28"/>
        </w:rPr>
      </w:pPr>
    </w:p>
    <w:p>
      <w:pPr>
        <w:jc w:val="center"/>
        <w:spacing w:line="276" w:lineRule="auto"/>
        <w:rPr>
          <w:b/>
          <w:sz w:val="28"/>
        </w:rPr>
      </w:pPr>
      <w:r>
        <w:rPr>
          <w:b/>
          <w:sz w:val="28"/>
        </w:rPr>
        <w:t xml:space="preserve">7. SHARTNOMANI BEKOR QILISH</w:t>
      </w:r>
    </w:p>
    <w:p>
      <w:pPr>
        <w:jc w:val="both"/>
        <w:ind w:firstLine="652"/>
        <w:spacing w:line="276" w:lineRule="auto"/>
        <w:rPr>
          <w:sz w:val="28"/>
        </w:rPr>
      </w:pPr>
      <w:r>
        <w:rPr>
          <w:sz w:val="28"/>
        </w:rPr>
        <w:t xml:space="preserve">7.1. Shartnomani bajarishdan bir tomonlama (toʻliq yoki qisman) bosh tortishga taraflardan biri shartnomani jiddiy buzgan taqdirda yoʻl qoʻyiladi.</w:t>
      </w:r>
    </w:p>
    <w:p>
      <w:pPr>
        <w:jc w:val="both"/>
        <w:ind w:firstLine="652"/>
        <w:spacing w:line="276" w:lineRule="auto"/>
        <w:rPr>
          <w:sz w:val="28"/>
        </w:rPr>
      </w:pPr>
      <w:r>
        <w:rPr>
          <w:sz w:val="28"/>
        </w:rPr>
        <w:t xml:space="preserve">7.2. “Buyurtmachi” quyidagi hollarda shartnomani bir tomonlama tartibda “Ijrochi”ni yozma ravishda xabardor qilgan holda bekor kilish xukukiga ega: </w:t>
      </w:r>
    </w:p>
    <w:p>
      <w:pPr>
        <w:jc w:val="both"/>
        <w:ind w:firstLine="652"/>
        <w:spacing w:line="276" w:lineRule="auto"/>
        <w:rPr>
          <w:sz w:val="28"/>
        </w:rPr>
      </w:pPr>
      <w:r>
        <w:rPr>
          <w:sz w:val="28"/>
        </w:rPr>
        <w:t xml:space="preserve">shartnoma kuchga kirgandan keyin jixozlarni yetkazib berish “Buyurtmachi”ga bogʻliq boʻlmagan sabablarga koʻra “Ijrochi” tomonidan muddati kechiktirilganda;</w:t>
      </w:r>
    </w:p>
    <w:p>
      <w:pPr>
        <w:jc w:val="both"/>
        <w:ind w:firstLine="652"/>
        <w:spacing w:line="276" w:lineRule="auto"/>
        <w:rPr>
          <w:sz w:val="28"/>
        </w:rPr>
      </w:pPr>
      <w:r>
        <w:rPr>
          <w:sz w:val="28"/>
        </w:rPr>
        <w:t xml:space="preserve">tegishli darajada sifatli boʻlmagan, sotib oluvchi uchun maqbul muddatda bartaraf qilib boʻlmaydigan kamchiliklarga ega boʻlgan tovarlarni yetkazib berilganda.</w:t>
      </w:r>
    </w:p>
    <w:p>
      <w:pPr>
        <w:jc w:val="both"/>
        <w:ind w:firstLine="652"/>
        <w:spacing w:line="276" w:lineRule="auto"/>
        <w:rPr>
          <w:sz w:val="28"/>
        </w:rPr>
      </w:pPr>
      <w:r>
        <w:rPr>
          <w:sz w:val="28"/>
        </w:rPr>
        <w:t xml:space="preserve">Bundan tashkari, “Buyurtmachi” qonunchilik hujjatlariga muvofiq boshqa asoslar boʻyicha shartnomaning bekor qilinishini talab qilish huquqiga ega.</w:t>
      </w:r>
    </w:p>
    <w:p>
      <w:pPr>
        <w:jc w:val="both"/>
        <w:ind w:firstLine="652"/>
        <w:spacing w:line="276" w:lineRule="auto"/>
        <w:rPr>
          <w:sz w:val="28"/>
        </w:rPr>
      </w:pPr>
      <w:r>
        <w:rPr>
          <w:sz w:val="28"/>
        </w:rPr>
        <w:t>7.3. “Ijrochi”:</w:t>
      </w:r>
    </w:p>
    <w:p>
      <w:pPr>
        <w:jc w:val="both"/>
        <w:ind w:firstLine="652"/>
        <w:spacing w:line="276" w:lineRule="auto"/>
        <w:rPr>
          <w:sz w:val="28"/>
        </w:rPr>
      </w:pPr>
      <w:r>
        <w:rPr>
          <w:sz w:val="28"/>
        </w:rPr>
        <w:t xml:space="preserve">Tovarlarni yetkazib berish “Ijrochi”ga bogʻliq boʻlmagan sabablarga koʻra “Buyurtmachi” tomonidan bir oydan ortiq muddatga toʻxtatib qoʻyilganda;</w:t>
      </w:r>
    </w:p>
    <w:p>
      <w:pPr>
        <w:jc w:val="both"/>
        <w:ind w:firstLine="652"/>
        <w:spacing w:line="276" w:lineRule="auto"/>
        <w:rPr>
          <w:sz w:val="28"/>
        </w:rPr>
      </w:pPr>
      <w:r>
        <w:rPr>
          <w:sz w:val="28"/>
        </w:rPr>
        <w:t xml:space="preserve">“Buyurtmachi” tomonidan toʻlov tartibi oʻz vaqtida bajarilmaganda;</w:t>
      </w:r>
    </w:p>
    <w:p>
      <w:pPr>
        <w:jc w:val="both"/>
        <w:ind w:firstLine="652"/>
        <w:spacing w:line="276" w:lineRule="auto"/>
        <w:rPr>
          <w:sz w:val="28"/>
        </w:rPr>
      </w:pPr>
      <w:r>
        <w:rPr>
          <w:sz w:val="28"/>
        </w:rPr>
        <w:t xml:space="preserve">qonun hujjatlariga muvofiq boshqa asoslar boʻyicha shartnomaning bekor qilinishini talab qilish huquqiga ega.</w:t>
      </w:r>
    </w:p>
    <w:p>
      <w:pPr>
        <w:jc w:val="both"/>
        <w:ind w:firstLine="652"/>
        <w:spacing w:line="276" w:lineRule="auto"/>
        <w:rPr>
          <w:sz w:val="28"/>
        </w:rPr>
      </w:pPr>
      <w:r>
        <w:rPr>
          <w:sz w:val="28"/>
        </w:rPr>
        <w:t xml:space="preserve">7.4. Agar mahsulot yetkazib berish shartnomasini bekor qilish yoki oʻzgartirishning boshqa muddati bildirish xatida nazarda tutilmagan boʻlsa, shartnoma bir taraf boshqa tarafdan shartnomani bajarishdan toʻla yoki qisman bir taraflama bosh tortish toʻgʻrisida bildirish xati olgan paytdan boshlab oʻzgartirilgan yoki bekor qilingan hisoblanadi.</w:t>
      </w:r>
    </w:p>
    <w:p>
      <w:pPr>
        <w:jc w:val="center"/>
        <w:ind w:firstLine="652"/>
        <w:spacing w:line="276" w:lineRule="auto"/>
        <w:rPr>
          <w:sz w:val="28"/>
        </w:rPr>
      </w:pPr>
    </w:p>
    <w:p>
      <w:pPr>
        <w:jc w:val="center"/>
        <w:spacing w:line="276" w:lineRule="auto"/>
        <w:rPr>
          <w:b/>
          <w:sz w:val="28"/>
        </w:rPr>
      </w:pPr>
      <w:r>
        <w:rPr>
          <w:b/>
          <w:sz w:val="28"/>
        </w:rPr>
        <w:t xml:space="preserve">8. SHARTNOMAGA OʻZGARTIRISH VA QOʻSHIMCHALAR KIRITISH VA NIZOLARNI HAL ETISH TARTIBI</w:t>
      </w:r>
    </w:p>
    <w:p>
      <w:pPr>
        <w:jc w:val="both"/>
        <w:ind w:firstLine="652"/>
        <w:spacing w:line="276" w:lineRule="auto"/>
        <w:rPr>
          <w:sz w:val="28"/>
        </w:rPr>
      </w:pPr>
      <w:r>
        <w:rPr>
          <w:sz w:val="28"/>
        </w:rPr>
        <w:t xml:space="preserve">8.1. Mazkur shartnomaga barcha oʻzgartirish va qoʻshimchalar, agar ular yozma shaklda rasmiylashtirilgan va taraflar ularni imzolashgan boʻlsa, haqiqiy hisoblanadi.</w:t>
      </w:r>
    </w:p>
    <w:p>
      <w:pPr>
        <w:jc w:val="both"/>
        <w:ind w:firstLine="652"/>
        <w:spacing w:line="276" w:lineRule="auto"/>
        <w:rPr>
          <w:sz w:val="28"/>
        </w:rPr>
      </w:pPr>
      <w:r>
        <w:rPr>
          <w:sz w:val="28"/>
        </w:rPr>
        <w:t xml:space="preserve">8.2. “Buyurtmachi” bilan “Ijrochi” oʻrtasidagi mazkur shartnomadan kelib chiqmaydigan yangi majburiyatlar paydo boʻlishiga olib keladigan har qanday ahdlashuvni taraflar mazkur shartnomaga qoʻshimchalar yoki oʻzgartirishlar shaklida yozma ravishda tasdiqlashlari lozim.</w:t>
      </w:r>
    </w:p>
    <w:p>
      <w:pPr>
        <w:jc w:val="both"/>
        <w:ind w:firstLine="652"/>
        <w:spacing w:line="276" w:lineRule="auto"/>
        <w:rPr>
          <w:sz w:val="28"/>
        </w:rPr>
      </w:pPr>
      <w:r>
        <w:rPr>
          <w:sz w:val="28"/>
        </w:rPr>
        <w:t xml:space="preserve">8.3. Shartnomani bajarishda va bekor qilishda shuningdek yetkazilgan zararlarni qoplashda paydo boʻladigan nizoli masalalarni tomonlar hal etilmasa ular qonunchilik hujjatlarida belgilangan tartibda Toshkent tumanlararo iqtisodiy sudi tomonidan koʻrib chiqiladi.</w:t>
      </w:r>
    </w:p>
    <w:p>
      <w:pPr>
        <w:jc w:val="center"/>
        <w:spacing w:line="276" w:lineRule="auto"/>
        <w:rPr>
          <w:sz w:val="28"/>
        </w:rPr>
      </w:pPr>
    </w:p>
    <w:p>
      <w:pPr>
        <w:jc w:val="center"/>
        <w:spacing w:line="276" w:lineRule="auto"/>
        <w:rPr>
          <w:b/>
          <w:sz w:val="28"/>
        </w:rPr>
      </w:pPr>
      <w:r>
        <w:rPr>
          <w:b/>
          <w:sz w:val="28"/>
        </w:rPr>
        <w:t xml:space="preserve">9. FORS-MAJOR HOLATLAR</w:t>
      </w:r>
    </w:p>
    <w:p>
      <w:pPr>
        <w:jc w:val="both"/>
        <w:ind w:firstLine="652"/>
        <w:spacing w:line="276" w:lineRule="auto"/>
        <w:rPr>
          <w:sz w:val="28"/>
        </w:rPr>
      </w:pPr>
      <w:r>
        <w:rPr>
          <w:sz w:val="28"/>
        </w:rPr>
        <w:t xml:space="preserve">9.1. Taraflar shartnoma shartlarini bajarishlari mobaynida ularning hoxish, erki va irodasiga bogʻliq boʻlmagan kuchlar toʻsiqlik qilsa, jumladan: tabiiy ofatlar, zilzila, suv toshqini, oʻrush eʼlon qilinishi, amaldagi qonunchilikning oʻzgarishi kabi holatlarda fors-major holati eʼlon qilinadi. Qaysi taraf uchun fors-major holati sodir boʻlsa, ushbu holat hakida ikkinchi tarafni yozma ravishda ogohlantirish shart. Fors-major holatlari </w:t>
      </w:r>
      <w:r>
        <w:rPr>
          <w:vanish w:val="false"/>
          <w:sz w:val="28"/>
          <w:rFonts w:ascii="Times New Roman" w:hAnsi="Times New Roman"/>
        </w:rPr>
        <w:fldChar w:fldCharType="begin"/>
        <w:instrText xml:space="preserve">X {"Y":41}</w:instrText>
        <w:fldChar w:fldCharType="separate"/>
        <w:t xml:space="preserve">Taraflar shartnoma shartlarini bajarishdan qisman yoki to‘liq ozod etilishlariga sabab bo‘ladigan fors-major holatlarining sodir bo‘lishining eng kam muddati</w:t>
      </w:r>
      <w:r>
        <w:rPr>
          <w:vanish w:val="false"/>
          <w:sz w:val="28"/>
          <w:rFonts w:ascii="Times New Roman" w:hAnsi="Times New Roman"/>
        </w:rPr>
        <w:fldChar w:fldCharType="end"/>
      </w:r>
      <w:r>
        <w:rPr>
          <w:sz w:val="28"/>
        </w:rPr>
        <w:t xml:space="preserve">yoki undan ortiq davom etsa taraflar shartnoma shartlarini bajarishdan qisman yoki toʻliq ozod etiladilar.</w:t>
      </w:r>
    </w:p>
    <w:p>
      <w:pPr>
        <w:jc w:val="both"/>
        <w:ind w:firstLine="652"/>
        <w:spacing w:line="276" w:lineRule="auto"/>
        <w:rPr>
          <w:sz w:val="28"/>
        </w:rPr>
      </w:pPr>
      <w:r>
        <w:rPr>
          <w:sz w:val="28"/>
        </w:rPr>
        <w:t xml:space="preserve">9.2. Taraflar fors-major holatlar natijasida yuzaga keladigan oqibatlar uchun javobgar boʻlmaydilar.</w:t>
      </w:r>
    </w:p>
    <w:p>
      <w:pPr>
        <w:jc w:val="both"/>
        <w:ind w:firstLine="652"/>
        <w:spacing w:line="276" w:lineRule="auto"/>
        <w:rPr>
          <w:sz w:val="28"/>
        </w:rPr>
      </w:pPr>
    </w:p>
    <w:p>
      <w:pPr>
        <w:jc w:val="center"/>
        <w:spacing w:line="276" w:lineRule="auto"/>
        <w:rPr>
          <w:b/>
          <w:sz w:val="28"/>
        </w:rPr>
      </w:pPr>
      <w:r>
        <w:rPr>
          <w:b/>
          <w:sz w:val="28"/>
        </w:rPr>
        <w:t xml:space="preserve">10. SHARTNOMANING AMAL QILISH MUDDATI</w:t>
      </w:r>
    </w:p>
    <w:p>
      <w:pPr>
        <w:jc w:val="both"/>
        <w:ind w:firstLine="652"/>
        <w:spacing w:line="276" w:lineRule="auto"/>
        <w:rPr>
          <w:sz w:val="28"/>
        </w:rPr>
      </w:pPr>
      <w:r>
        <w:rPr>
          <w:sz w:val="28"/>
        </w:rPr>
        <w:t xml:space="preserve">10.1. Shartnoma imzolangan kundan boshlab kuchga kiradi va </w:t>
      </w:r>
      <w:r>
        <w:rPr>
          <w:vanish w:val="false"/>
          <w:sz w:val="28"/>
          <w:rFonts w:ascii="Times New Roman" w:hAnsi="Times New Roman"/>
        </w:rPr>
        <w:fldChar w:fldCharType="begin"/>
        <w:instrText xml:space="preserve">X {"Y":42}</w:instrText>
        <w:fldChar w:fldCharType="separate"/>
        <w:t xml:space="preserve">Shartnomaning amal qilish muddati (yil, sana va oy)</w:t>
      </w:r>
      <w:r>
        <w:rPr>
          <w:vanish w:val="false"/>
          <w:sz w:val="28"/>
          <w:rFonts w:ascii="Times New Roman" w:hAnsi="Times New Roman"/>
        </w:rPr>
        <w:fldChar w:fldCharType="end"/>
      </w:r>
      <w:r>
        <w:rPr>
          <w:sz w:val="28"/>
        </w:rPr>
        <w:t xml:space="preserve">gacha amal qiladi.</w:t>
      </w:r>
    </w:p>
    <w:p>
      <w:pPr>
        <w:jc w:val="both"/>
        <w:ind w:firstLine="652"/>
        <w:spacing w:line="276" w:lineRule="auto"/>
        <w:rPr>
          <w:sz w:val="28"/>
        </w:rPr>
      </w:pPr>
      <w:r>
        <w:rPr>
          <w:sz w:val="28"/>
        </w:rPr>
        <w:t xml:space="preserve">10.2. Mazkur shartnoma bir xil yuridik kuchga ega boʻlgan 2 nusxada tuzildi. </w:t>
      </w:r>
    </w:p>
    <w:p>
      <w:pPr>
        <w:shd w:fill="ffffff"/>
        <w:spacing w:line="276" w:lineRule="auto"/>
        <w:rPr>
          <w:sz w:val="28"/>
        </w:rPr>
      </w:pPr>
    </w:p>
    <w:p>
      <w:pPr>
        <w:jc w:val="center"/>
        <w:shd w:fill="ffffff"/>
        <w:spacing w:line="276" w:lineRule="auto"/>
        <w:rPr>
          <w:b/>
          <w:color w:val="000000"/>
          <w:sz w:val="28"/>
        </w:rPr>
      </w:pPr>
      <w:r>
        <w:rPr>
          <w:b/>
          <w:color w:val="000000"/>
          <w:sz w:val="28"/>
        </w:rPr>
        <w:t xml:space="preserve">11. TARAFLARNING REKVIZITLARI VA IMZOLARI</w:t>
      </w:r>
    </w:p>
    <w:p>
      <w:pPr>
        <w:jc w:val="center"/>
        <w:shd w:fill="ffffff"/>
        <w:spacing w:line="276" w:lineRule="auto"/>
        <w:rPr>
          <w:color w:val="000000"/>
          <w:sz w:val="28"/>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359"/>
        <w:gridCol w:w="1522"/>
        <w:gridCol w:w="759"/>
        <w:gridCol w:w="2704"/>
        <w:gridCol w:w="1294"/>
      </w:tblGrid>
      <w:tr>
        <w:tc>
          <w:tcPr>
            <w:tcW w:w="4219" w:type="dxa"/>
            <w:gridSpan w:val="2"/>
          </w:tcPr>
          <w:p>
            <w:pPr>
              <w:jc w:val="center"/>
              <w:spacing w:line="288" w:lineRule="auto"/>
              <w:rPr>
                <w:b/>
                <w:sz w:val="28"/>
              </w:rPr>
            </w:pPr>
            <w:r>
              <w:rPr>
                <w:b/>
                <w:sz w:val="28"/>
              </w:rPr>
              <w:t>Buyurtmachi</w:t>
            </w:r>
          </w:p>
        </w:tc>
        <w:tc>
          <w:tcPr>
            <w:tcW w:w="851" w:type="dxa"/>
          </w:tcPr>
          <w:p>
            <w:pPr>
              <w:jc w:val="center"/>
              <w:spacing w:line="288" w:lineRule="auto"/>
              <w:rPr>
                <w:b/>
                <w:sz w:val="28"/>
              </w:rPr>
            </w:pPr>
          </w:p>
        </w:tc>
        <w:tc>
          <w:tcPr>
            <w:tcW w:w="4275" w:type="dxa"/>
            <w:gridSpan w:val="2"/>
          </w:tcPr>
          <w:p>
            <w:pPr>
              <w:jc w:val="center"/>
              <w:spacing w:line="288" w:lineRule="auto"/>
              <w:rPr>
                <w:b/>
                <w:sz w:val="28"/>
              </w:rPr>
            </w:pPr>
            <w:r>
              <w:rPr>
                <w:b/>
                <w:sz w:val="28"/>
              </w:rPr>
              <w:t>Ijrochi:</w:t>
            </w:r>
          </w:p>
        </w:tc>
      </w:tr>
      <w:tr>
        <w:tc>
          <w:tcPr>
            <w:tcW w:w="4219" w:type="dxa"/>
            <w:gridSpan w:val="2"/>
          </w:tcPr>
          <w:p>
            <w:pPr>
              <w:spacing w:line="288" w:lineRule="auto"/>
              <w:rPr>
                <w:b/>
                <w:sz w:val="28"/>
              </w:rPr>
            </w:pPr>
            <w:r>
              <w:rPr>
                <w:sz w:val="28"/>
              </w:rPr>
              <w:t xml:space="preserve">Manzil: </w:t>
            </w:r>
            <w:r>
              <w:rPr>
                <w:vanish w:val="false"/>
                <w:sz w:val="28"/>
                <w:rFonts w:ascii="Times New Roman" w:hAnsi="Times New Roman"/>
              </w:rPr>
              <w:fldChar w:fldCharType="begin"/>
              <w:instrText xml:space="preserve">X {"Y":9}</w:instrText>
              <w:fldChar w:fldCharType="separate"/>
              <w:t xml:space="preserve">Buyurtmachi tashkilotning manzili</w:t>
            </w:r>
            <w:r>
              <w:rPr>
                <w:vanish w:val="false"/>
                <w:sz w:val="28"/>
                <w:rFonts w:ascii="Times New Roman" w:hAnsi="Times New Roman"/>
              </w:rPr>
              <w:fldChar w:fldCharType="end"/>
            </w:r>
          </w:p>
        </w:tc>
        <w:tc>
          <w:tcPr>
            <w:tcW w:w="851" w:type="dxa"/>
          </w:tcPr>
          <w:p>
            <w:pPr>
              <w:jc w:val="center"/>
              <w:spacing w:line="288" w:lineRule="auto"/>
              <w:rPr>
                <w:b/>
                <w:sz w:val="28"/>
              </w:rPr>
            </w:pPr>
          </w:p>
        </w:tc>
        <w:tc>
          <w:tcPr>
            <w:tcW w:w="4275" w:type="dxa"/>
            <w:gridSpan w:val="2"/>
          </w:tcPr>
          <w:p>
            <w:pPr>
              <w:spacing w:line="288" w:lineRule="auto"/>
              <w:rPr>
                <w:b/>
                <w:sz w:val="28"/>
              </w:rPr>
            </w:pPr>
            <w:r>
              <w:rPr>
                <w:sz w:val="28"/>
              </w:rPr>
              <w:t xml:space="preserve">Manzil: </w:t>
            </w:r>
            <w:r>
              <w:rPr>
                <w:vanish w:val="false"/>
                <w:sz w:val="28"/>
                <w:rFonts w:ascii="Times New Roman" w:hAnsi="Times New Roman"/>
              </w:rPr>
              <w:fldChar w:fldCharType="begin"/>
              <w:instrText xml:space="preserve">X {"Y":18}</w:instrText>
              <w:fldChar w:fldCharType="separate"/>
              <w:t xml:space="preserve">Ijrochining manzili</w:t>
            </w:r>
            <w:r>
              <w:rPr>
                <w:vanish w:val="false"/>
                <w:sz w:val="28"/>
                <w:rFonts w:ascii="Times New Roman" w:hAnsi="Times New Roman"/>
              </w:rPr>
              <w:fldChar w:fldCharType="end"/>
            </w:r>
          </w:p>
        </w:tc>
      </w:tr>
      <w:tr>
        <w:tc>
          <w:tcPr>
            <w:tcW w:w="4219" w:type="dxa"/>
            <w:gridSpan w:val="2"/>
          </w:tcPr>
          <w:p>
            <w:pPr>
              <w:spacing w:line="288" w:lineRule="auto"/>
              <w:rPr>
                <w:b/>
                <w:sz w:val="28"/>
              </w:rPr>
            </w:pPr>
            <w:r>
              <w:rPr>
                <w:sz w:val="28"/>
              </w:rPr>
              <w:t xml:space="preserve">Hisob raqami: </w:t>
            </w:r>
            <w:r>
              <w:rPr>
                <w:vanish w:val="false"/>
                <w:sz w:val="28"/>
                <w:rFonts w:ascii="Times New Roman" w:hAnsi="Times New Roman"/>
              </w:rPr>
              <w:fldChar w:fldCharType="begin"/>
              <w:instrText xml:space="preserve">X {"Y":10}</w:instrText>
              <w:fldChar w:fldCharType="separate"/>
              <w:t xml:space="preserve">Buyurtmachining hisob raqami</w:t>
            </w:r>
            <w:r>
              <w:rPr>
                <w:vanish w:val="false"/>
                <w:sz w:val="28"/>
                <w:rFonts w:ascii="Times New Roman" w:hAnsi="Times New Roman"/>
              </w:rPr>
              <w:fldChar w:fldCharType="end"/>
            </w:r>
          </w:p>
        </w:tc>
        <w:tc>
          <w:tcPr>
            <w:tcW w:w="851" w:type="dxa"/>
          </w:tcPr>
          <w:p>
            <w:pPr>
              <w:jc w:val="center"/>
              <w:spacing w:line="288" w:lineRule="auto"/>
              <w:rPr>
                <w:b/>
                <w:sz w:val="28"/>
              </w:rPr>
            </w:pPr>
          </w:p>
        </w:tc>
        <w:tc>
          <w:tcPr>
            <w:tcW w:w="4275" w:type="dxa"/>
            <w:gridSpan w:val="2"/>
          </w:tcPr>
          <w:p>
            <w:pPr>
              <w:spacing w:line="288" w:lineRule="auto"/>
              <w:rPr>
                <w:b/>
                <w:sz w:val="28"/>
              </w:rPr>
            </w:pPr>
            <w:r>
              <w:rPr>
                <w:sz w:val="28"/>
              </w:rPr>
              <w:t xml:space="preserve">Hisob raqami: </w:t>
            </w:r>
            <w:r>
              <w:rPr>
                <w:vanish w:val="false"/>
                <w:sz w:val="28"/>
                <w:rFonts w:ascii="Times New Roman" w:hAnsi="Times New Roman"/>
              </w:rPr>
              <w:fldChar w:fldCharType="begin"/>
              <w:instrText xml:space="preserve">X {"Y":19}</w:instrText>
              <w:fldChar w:fldCharType="separate"/>
              <w:t xml:space="preserve">Ijrochining hisob raqami</w:t>
            </w:r>
            <w:r>
              <w:rPr>
                <w:vanish w:val="false"/>
                <w:sz w:val="28"/>
                <w:rFonts w:ascii="Times New Roman" w:hAnsi="Times New Roman"/>
              </w:rPr>
              <w:fldChar w:fldCharType="end"/>
            </w:r>
          </w:p>
        </w:tc>
      </w:tr>
      <w:tr>
        <w:tc>
          <w:tcPr>
            <w:tcW w:w="4219" w:type="dxa"/>
            <w:gridSpan w:val="2"/>
          </w:tcPr>
          <w:p>
            <w:pPr>
              <w:spacing w:line="288" w:lineRule="auto"/>
              <w:rPr>
                <w:b/>
                <w:sz w:val="28"/>
              </w:rPr>
            </w:pPr>
            <w:r>
              <w:rPr>
                <w:sz w:val="28"/>
              </w:rPr>
              <w:t xml:space="preserve">Bank : </w:t>
            </w:r>
            <w:r>
              <w:rPr>
                <w:vanish w:val="false"/>
                <w:sz w:val="28"/>
                <w:rFonts w:ascii="Times New Roman" w:hAnsi="Times New Roman"/>
              </w:rPr>
              <w:fldChar w:fldCharType="begin"/>
              <w:instrText xml:space="preserve">X {"Y":11}</w:instrText>
              <w:fldChar w:fldCharType="separate"/>
              <w:t xml:space="preserve">Buyurtmachining pul operatsiyalarini amalga oshiruvchi bank nomi</w:t>
            </w:r>
            <w:r>
              <w:rPr>
                <w:vanish w:val="false"/>
                <w:sz w:val="28"/>
                <w:rFonts w:ascii="Times New Roman" w:hAnsi="Times New Roman"/>
              </w:rPr>
              <w:fldChar w:fldCharType="end"/>
            </w:r>
          </w:p>
        </w:tc>
        <w:tc>
          <w:tcPr>
            <w:tcW w:w="851" w:type="dxa"/>
          </w:tcPr>
          <w:p>
            <w:pPr>
              <w:jc w:val="center"/>
              <w:spacing w:line="288" w:lineRule="auto"/>
              <w:rPr>
                <w:b/>
                <w:sz w:val="28"/>
              </w:rPr>
            </w:pPr>
          </w:p>
        </w:tc>
        <w:tc>
          <w:tcPr>
            <w:tcW w:w="4275" w:type="dxa"/>
            <w:gridSpan w:val="2"/>
          </w:tcPr>
          <w:p>
            <w:pPr>
              <w:spacing w:line="288" w:lineRule="auto"/>
              <w:rPr>
                <w:b/>
                <w:sz w:val="28"/>
              </w:rPr>
            </w:pPr>
            <w:r>
              <w:rPr>
                <w:sz w:val="28"/>
              </w:rPr>
              <w:t>Bank:</w:t>
            </w:r>
            <w:r>
              <w:rPr>
                <w:b/>
                <w:sz w:val="28"/>
              </w:rPr>
              <w:t xml:space="preserve"> </w:t>
            </w:r>
            <w:r>
              <w:rPr>
                <w:vanish w:val="false"/>
                <w:sz w:val="28"/>
                <w:rFonts w:ascii="Times New Roman" w:hAnsi="Times New Roman"/>
              </w:rPr>
              <w:fldChar w:fldCharType="begin"/>
              <w:instrText xml:space="preserve">X {"Y":20}</w:instrText>
              <w:fldChar w:fldCharType="separate"/>
              <w:t xml:space="preserve">Ijrochining pul operatsiyalarini amalga oshiruvchi bank nomi</w:t>
            </w:r>
            <w:r>
              <w:rPr>
                <w:vanish w:val="false"/>
                <w:sz w:val="28"/>
                <w:rFonts w:ascii="Times New Roman" w:hAnsi="Times New Roman"/>
              </w:rPr>
              <w:fldChar w:fldCharType="end"/>
            </w:r>
          </w:p>
        </w:tc>
      </w:tr>
      <w:tr>
        <w:tc>
          <w:tcPr>
            <w:tcW w:w="4219" w:type="dxa"/>
            <w:gridSpan w:val="2"/>
          </w:tcPr>
          <w:p>
            <w:pPr>
              <w:spacing w:line="288" w:lineRule="auto"/>
              <w:rPr>
                <w:b/>
                <w:sz w:val="28"/>
              </w:rPr>
            </w:pPr>
            <w:r>
              <w:rPr>
                <w:sz w:val="28"/>
              </w:rPr>
              <w:t xml:space="preserve">STIR: </w:t>
            </w:r>
            <w:r>
              <w:rPr>
                <w:vanish w:val="false"/>
                <w:sz w:val="28"/>
                <w:rFonts w:ascii="Times New Roman" w:hAnsi="Times New Roman"/>
              </w:rPr>
              <w:fldChar w:fldCharType="begin"/>
              <w:instrText xml:space="preserve">X {"Y":12}</w:instrText>
              <w:fldChar w:fldCharType="separate"/>
              <w:t xml:space="preserve">Buyurtmachining STIR raqami</w:t>
            </w:r>
            <w:r>
              <w:rPr>
                <w:vanish w:val="false"/>
                <w:sz w:val="28"/>
                <w:rFonts w:ascii="Times New Roman" w:hAnsi="Times New Roman"/>
              </w:rPr>
              <w:fldChar w:fldCharType="end"/>
            </w:r>
          </w:p>
        </w:tc>
        <w:tc>
          <w:tcPr>
            <w:tcW w:w="851" w:type="dxa"/>
          </w:tcPr>
          <w:p>
            <w:pPr>
              <w:jc w:val="center"/>
              <w:spacing w:line="288" w:lineRule="auto"/>
              <w:rPr>
                <w:b/>
                <w:sz w:val="28"/>
              </w:rPr>
            </w:pPr>
          </w:p>
        </w:tc>
        <w:tc>
          <w:tcPr>
            <w:tcW w:w="4275" w:type="dxa"/>
            <w:gridSpan w:val="2"/>
          </w:tcPr>
          <w:p>
            <w:pPr>
              <w:spacing w:line="288" w:lineRule="auto"/>
              <w:rPr>
                <w:b/>
                <w:sz w:val="28"/>
              </w:rPr>
            </w:pPr>
            <w:r>
              <w:rPr>
                <w:sz w:val="28"/>
              </w:rPr>
              <w:t xml:space="preserve">STIR: </w:t>
            </w:r>
            <w:r>
              <w:rPr>
                <w:vanish w:val="false"/>
                <w:sz w:val="28"/>
                <w:rFonts w:ascii="Times New Roman" w:hAnsi="Times New Roman"/>
              </w:rPr>
              <w:fldChar w:fldCharType="begin"/>
              <w:instrText xml:space="preserve">X {"Y":21}</w:instrText>
              <w:fldChar w:fldCharType="separate"/>
              <w:t xml:space="preserve">Ijrochining STIR raqami</w:t>
            </w:r>
            <w:r>
              <w:rPr>
                <w:vanish w:val="false"/>
                <w:sz w:val="28"/>
                <w:rFonts w:ascii="Times New Roman" w:hAnsi="Times New Roman"/>
              </w:rPr>
              <w:fldChar w:fldCharType="end"/>
            </w:r>
          </w:p>
        </w:tc>
      </w:tr>
      <w:tr>
        <w:tc>
          <w:tcPr>
            <w:tcW w:w="4219" w:type="dxa"/>
            <w:gridSpan w:val="2"/>
          </w:tcPr>
          <w:p>
            <w:pPr>
              <w:spacing w:line="288" w:lineRule="auto"/>
              <w:rPr>
                <w:b/>
                <w:sz w:val="28"/>
              </w:rPr>
            </w:pPr>
            <w:r>
              <w:rPr>
                <w:sz w:val="28"/>
              </w:rPr>
              <w:t xml:space="preserve">Telefon raqami: </w:t>
            </w:r>
            <w:r>
              <w:rPr>
                <w:vanish w:val="false"/>
                <w:sz w:val="28"/>
                <w:rFonts w:ascii="Times New Roman" w:hAnsi="Times New Roman"/>
              </w:rPr>
              <w:fldChar w:fldCharType="begin"/>
              <w:instrText xml:space="preserve">X {"Y":13}</w:instrText>
              <w:fldChar w:fldCharType="separate"/>
              <w:t xml:space="preserve">Buyurtmachining telefon raqami</w:t>
            </w:r>
            <w:r>
              <w:rPr>
                <w:vanish w:val="false"/>
                <w:sz w:val="28"/>
                <w:rFonts w:ascii="Times New Roman" w:hAnsi="Times New Roman"/>
              </w:rPr>
              <w:fldChar w:fldCharType="end"/>
            </w:r>
          </w:p>
        </w:tc>
        <w:tc>
          <w:tcPr>
            <w:tcW w:w="851" w:type="dxa"/>
          </w:tcPr>
          <w:p>
            <w:pPr>
              <w:jc w:val="center"/>
              <w:spacing w:line="288" w:lineRule="auto"/>
              <w:rPr>
                <w:b/>
                <w:sz w:val="28"/>
              </w:rPr>
            </w:pPr>
          </w:p>
        </w:tc>
        <w:tc>
          <w:tcPr>
            <w:tcW w:w="4275" w:type="dxa"/>
            <w:gridSpan w:val="2"/>
          </w:tcPr>
          <w:p>
            <w:pPr>
              <w:spacing w:line="288" w:lineRule="auto"/>
              <w:rPr>
                <w:b/>
                <w:sz w:val="28"/>
              </w:rPr>
            </w:pPr>
            <w:r>
              <w:rPr>
                <w:sz w:val="28"/>
              </w:rPr>
              <w:t xml:space="preserve">Telefon raqami: </w:t>
            </w:r>
            <w:r>
              <w:rPr>
                <w:vanish w:val="false"/>
                <w:sz w:val="28"/>
                <w:rFonts w:ascii="Times New Roman" w:hAnsi="Times New Roman"/>
              </w:rPr>
              <w:fldChar w:fldCharType="begin"/>
              <w:instrText xml:space="preserve">X {"Y":22}</w:instrText>
              <w:fldChar w:fldCharType="separate"/>
              <w:t xml:space="preserve">Ijrochining telefon raqami</w:t>
            </w:r>
            <w:r>
              <w:rPr>
                <w:vanish w:val="false"/>
                <w:sz w:val="28"/>
                <w:rFonts w:ascii="Times New Roman" w:hAnsi="Times New Roman"/>
              </w:rPr>
              <w:fldChar w:fldCharType="end"/>
            </w:r>
          </w:p>
        </w:tc>
      </w:tr>
      <w:tr>
        <w:trPr>
          <w:trHeight w:val="1557"/>
        </w:trPr>
        <w:tc>
          <w:tcPr>
            <w:tcW w:w="2617" w:type="dxa"/>
          </w:tcPr>
          <w:p>
            <w:pPr>
              <w:spacing w:line="288" w:lineRule="auto"/>
              <w:rPr>
                <w:sz w:val="28"/>
              </w:rPr>
            </w:pPr>
            <w:r>
              <w:rPr>
                <w:b/>
                <w:sz w:val="28"/>
              </w:rPr>
              <w:t>Buyurtmachi:</w:t>
            </w:r>
            <w:r>
              <w:rPr>
                <w:vanish w:val="false"/>
                <w:sz w:val="28"/>
                <w:rFonts w:ascii="Times New Roman" w:hAnsi="Times New Roman"/>
              </w:rPr>
              <w:fldChar w:fldCharType="begin"/>
              <w:instrText xml:space="preserve">X {"Y":8}</w:instrText>
              <w:fldChar w:fldCharType="separate"/>
              <w:t xml:space="preserve">Buyurtmachi tashkilot masʼul shaxsi lavozimi va F.I.O.si</w:t>
            </w:r>
            <w:r>
              <w:rPr>
                <w:vanish w:val="false"/>
                <w:sz w:val="28"/>
                <w:rFonts w:ascii="Times New Roman" w:hAnsi="Times New Roman"/>
              </w:rPr>
              <w:fldChar w:fldCharType="end"/>
            </w:r>
          </w:p>
          <w:p>
            <w:pPr>
              <w:spacing w:line="288" w:lineRule="auto"/>
              <w:rPr>
                <w:i/>
                <w:sz w:val="28"/>
              </w:rPr>
            </w:pPr>
          </w:p>
          <w:p>
            <w:pPr>
              <w:jc w:val="center"/>
              <w:spacing w:line="288" w:lineRule="auto"/>
              <w:rPr>
                <w:b/>
                <w:sz w:val="28"/>
              </w:rPr>
            </w:pPr>
            <w:r>
              <w:rPr>
                <w:i/>
                <w:sz w:val="28"/>
              </w:rPr>
              <w:t>M.Oʻ.</w:t>
            </w:r>
          </w:p>
        </w:tc>
        <w:tc>
          <w:tcPr>
            <w:tcW w:w="1602" w:type="dxa"/>
          </w:tcPr>
          <w:p>
            <w:pPr>
              <w:spacing w:line="276" w:lineRule="auto"/>
              <w:rPr>
                <w:b/>
                <w:sz w:val="28"/>
              </w:rPr>
            </w:pPr>
          </w:p>
          <w:p>
            <w:pPr>
              <w:spacing w:line="276" w:lineRule="auto"/>
              <w:rPr>
                <w:b/>
                <w:sz w:val="28"/>
              </w:rPr>
            </w:pPr>
            <w:r>
              <w:rPr>
                <w:b/>
                <w:sz w:val="28"/>
              </w:rPr>
              <w:t>______</w:t>
            </w:r>
          </w:p>
          <w:p>
            <w:pPr>
              <w:spacing w:line="288" w:lineRule="auto"/>
              <w:rPr>
                <w:b/>
                <w:sz w:val="28"/>
              </w:rPr>
            </w:pPr>
            <w:r>
              <w:rPr>
                <w:sz w:val="28"/>
              </w:rPr>
              <w:t>(imzo)</w:t>
            </w:r>
          </w:p>
        </w:tc>
        <w:tc>
          <w:tcPr>
            <w:tcW w:w="851" w:type="dxa"/>
          </w:tcPr>
          <w:p>
            <w:pPr>
              <w:jc w:val="center"/>
              <w:spacing w:line="288" w:lineRule="auto"/>
              <w:rPr>
                <w:b/>
                <w:sz w:val="28"/>
              </w:rPr>
            </w:pPr>
          </w:p>
        </w:tc>
        <w:tc>
          <w:tcPr>
            <w:tcW w:w="2924" w:type="dxa"/>
          </w:tcPr>
          <w:p>
            <w:pPr>
              <w:spacing w:line="288" w:lineRule="auto"/>
              <w:rPr>
                <w:b/>
                <w:sz w:val="28"/>
              </w:rPr>
            </w:pPr>
            <w:r>
              <w:rPr>
                <w:b/>
                <w:sz w:val="28"/>
              </w:rPr>
              <w:t xml:space="preserve">Ijrochi: </w:t>
            </w:r>
            <w:r>
              <w:rPr>
                <w:vanish w:val="false"/>
                <w:sz w:val="28"/>
                <w:rFonts w:ascii="Times New Roman" w:hAnsi="Times New Roman"/>
              </w:rPr>
              <w:fldChar w:fldCharType="begin"/>
              <w:instrText xml:space="preserve">X {"Y":17}</w:instrText>
              <w:fldChar w:fldCharType="separate"/>
              <w:t xml:space="preserve">Ijrochi tashkilot maʼsul shaxsining lavozimi va F.I.O.si</w:t>
            </w:r>
            <w:r>
              <w:rPr>
                <w:vanish w:val="false"/>
                <w:sz w:val="28"/>
                <w:rFonts w:ascii="Times New Roman" w:hAnsi="Times New Roman"/>
              </w:rPr>
              <w:fldChar w:fldCharType="end"/>
            </w:r>
            <w:r>
              <w:rPr>
                <w:sz w:val="28"/>
              </w:rPr>
              <w:t xml:space="preserve"> </w:t>
            </w:r>
          </w:p>
          <w:p>
            <w:pPr>
              <w:jc w:val="center"/>
              <w:spacing w:line="288" w:lineRule="auto"/>
              <w:rPr>
                <w:b/>
                <w:sz w:val="28"/>
              </w:rPr>
            </w:pPr>
          </w:p>
          <w:p>
            <w:pPr>
              <w:jc w:val="center"/>
              <w:spacing w:line="288" w:lineRule="auto"/>
              <w:rPr>
                <w:b/>
                <w:sz w:val="28"/>
              </w:rPr>
            </w:pPr>
            <w:r>
              <w:rPr>
                <w:b/>
                <w:sz w:val="28"/>
              </w:rPr>
              <w:t xml:space="preserve"> </w:t>
            </w:r>
            <w:r>
              <w:rPr>
                <w:i/>
                <w:sz w:val="28"/>
              </w:rPr>
              <w:t>M.Oʻ.</w:t>
            </w:r>
          </w:p>
        </w:tc>
        <w:tc>
          <w:tcPr>
            <w:tcW w:w="1351" w:type="dxa"/>
          </w:tcPr>
          <w:p>
            <w:pPr>
              <w:jc w:val="center"/>
              <w:spacing w:line="288" w:lineRule="auto"/>
              <w:rPr>
                <w:sz w:val="28"/>
              </w:rPr>
            </w:pPr>
          </w:p>
          <w:p>
            <w:pPr>
              <w:jc w:val="center"/>
              <w:spacing w:line="288" w:lineRule="auto"/>
              <w:rPr>
                <w:sz w:val="28"/>
              </w:rPr>
            </w:pPr>
            <w:r>
              <w:rPr>
                <w:sz w:val="28"/>
              </w:rPr>
              <w:t>_____</w:t>
            </w:r>
          </w:p>
          <w:p>
            <w:pPr>
              <w:jc w:val="center"/>
              <w:spacing w:line="288" w:lineRule="auto"/>
              <w:rPr>
                <w:b/>
                <w:sz w:val="28"/>
              </w:rPr>
            </w:pPr>
            <w:r>
              <w:rPr>
                <w:sz w:val="28"/>
              </w:rPr>
              <w:t>(imzo)</w:t>
            </w:r>
          </w:p>
        </w:tc>
      </w:tr>
    </w:tbl>
    <w:p>
      <w:pPr>
        <w:spacing w:line="276" w:lineRule="auto"/>
        <w:rPr>
          <w:sz w:val="28"/>
        </w:rPr>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C1C"/>
    <w:rsid w:val="00000D6E"/>
    <w:rsid w:val="00023890"/>
    <w:rsid w:val="00027FD6"/>
    <w:rsid w:val="000375B9"/>
    <w:rsid w:val="00051B8D"/>
    <w:rsid w:val="00074F3F"/>
    <w:rsid w:val="00097E8D"/>
    <w:rsid w:val="000A1E44"/>
    <w:rsid w:val="000E0567"/>
    <w:rsid w:val="000F3748"/>
    <w:rsid w:val="000F5261"/>
    <w:rsid w:val="001304FC"/>
    <w:rsid w:val="00142091"/>
    <w:rsid w:val="001464A2"/>
    <w:rsid w:val="00151CCE"/>
    <w:rsid w:val="00204FFC"/>
    <w:rsid w:val="002051A4"/>
    <w:rsid w:val="002128A8"/>
    <w:rsid w:val="00220009"/>
    <w:rsid w:val="00227C1C"/>
    <w:rsid w:val="00231F62"/>
    <w:rsid w:val="00234B6B"/>
    <w:rsid w:val="00262C69"/>
    <w:rsid w:val="002633BA"/>
    <w:rsid w:val="0027391D"/>
    <w:rsid w:val="00281E09"/>
    <w:rsid w:val="002A518F"/>
    <w:rsid w:val="002B6314"/>
    <w:rsid w:val="002C1B99"/>
    <w:rsid w:val="002D381F"/>
    <w:rsid w:val="002E73C2"/>
    <w:rsid w:val="0033769B"/>
    <w:rsid w:val="003A3B29"/>
    <w:rsid w:val="003A7A1E"/>
    <w:rsid w:val="0041227A"/>
    <w:rsid w:val="0043637D"/>
    <w:rsid w:val="004401E8"/>
    <w:rsid w:val="0044782B"/>
    <w:rsid w:val="00466505"/>
    <w:rsid w:val="00475361"/>
    <w:rsid w:val="00481F15"/>
    <w:rsid w:val="004E68A1"/>
    <w:rsid w:val="00515129"/>
    <w:rsid w:val="005179B1"/>
    <w:rsid w:val="00530055"/>
    <w:rsid w:val="00537023"/>
    <w:rsid w:val="00540346"/>
    <w:rsid w:val="00542EEA"/>
    <w:rsid w:val="0056020C"/>
    <w:rsid w:val="00584F5C"/>
    <w:rsid w:val="005A027E"/>
    <w:rsid w:val="005C3749"/>
    <w:rsid w:val="005C65BC"/>
    <w:rsid w:val="005D2F4A"/>
    <w:rsid w:val="005E79EB"/>
    <w:rsid w:val="005F704D"/>
    <w:rsid w:val="0067461B"/>
    <w:rsid w:val="00685951"/>
    <w:rsid w:val="006A05C2"/>
    <w:rsid w:val="006A1CDB"/>
    <w:rsid w:val="00723E36"/>
    <w:rsid w:val="00725927"/>
    <w:rsid w:val="00735EA5"/>
    <w:rsid w:val="0076233F"/>
    <w:rsid w:val="0078367A"/>
    <w:rsid w:val="00787BE6"/>
    <w:rsid w:val="007C57E5"/>
    <w:rsid w:val="007E232A"/>
    <w:rsid w:val="007F6077"/>
    <w:rsid w:val="00867E9E"/>
    <w:rsid w:val="008822A9"/>
    <w:rsid w:val="00892AEF"/>
    <w:rsid w:val="008D75CD"/>
    <w:rsid w:val="008F48BE"/>
    <w:rsid w:val="00961A11"/>
    <w:rsid w:val="009A0D2B"/>
    <w:rsid w:val="009C2B4B"/>
    <w:rsid w:val="009C7D61"/>
    <w:rsid w:val="00A34939"/>
    <w:rsid w:val="00A42DE9"/>
    <w:rsid w:val="00A74DF0"/>
    <w:rsid w:val="00AD1FE5"/>
    <w:rsid w:val="00AF349C"/>
    <w:rsid w:val="00B12F8F"/>
    <w:rsid w:val="00B419F3"/>
    <w:rsid w:val="00B52B6A"/>
    <w:rsid w:val="00B62A7E"/>
    <w:rsid w:val="00BA3CBA"/>
    <w:rsid w:val="00BE22D8"/>
    <w:rsid w:val="00C42B5F"/>
    <w:rsid w:val="00C42E57"/>
    <w:rsid w:val="00C633C0"/>
    <w:rsid w:val="00CB1E8C"/>
    <w:rsid w:val="00CE4F9F"/>
    <w:rsid w:val="00D32E34"/>
    <w:rsid w:val="00D34E55"/>
    <w:rsid w:val="00D652CB"/>
    <w:rsid w:val="00D65CD1"/>
    <w:rsid w:val="00D91F96"/>
    <w:rsid w:val="00D92BD4"/>
    <w:rsid w:val="00DA0B9A"/>
    <w:rsid w:val="00DB0237"/>
    <w:rsid w:val="00DB15AD"/>
    <w:rsid w:val="00DC563F"/>
    <w:rsid w:val="00DD51A9"/>
    <w:rsid w:val="00DE5149"/>
    <w:rsid w:val="00DF264E"/>
    <w:rsid w:val="00E31A0C"/>
    <w:rsid w:val="00E33694"/>
    <w:rsid w:val="00E33A01"/>
    <w:rsid w:val="00E4404C"/>
    <w:rsid w:val="00E738F9"/>
    <w:rsid w:val="00E77143"/>
    <w:rsid w:val="00E7771E"/>
    <w:rsid w:val="00E94470"/>
    <w:rsid w:val="00EE6549"/>
    <w:rsid w:val="00EF3FD5"/>
    <w:rsid w:val="00F2376B"/>
    <w:rsid w:val="00F60E2C"/>
    <w:rsid w:val="00F6733F"/>
    <w:rsid w:val="00F85442"/>
    <w:rsid w:val="00F93376"/>
    <w:rsid w:val="00FA5C28"/>
    <w:rsid w:val="00FA6A51"/>
    <w:rsid w:val="00FD0F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16A43A-B979-452B-A5A3-47CFC9F7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2B6A"/>
    <w:pPr>
      <w:widowControl w:val="0"/>
      <w:autoSpaceDE w:val="0"/>
      <w:autoSpaceDN w:val="0"/>
      <w:adjustRightInd w:val="0"/>
      <w:spacing w:after="0" w:line="240" w:lineRule="auto"/>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B52B6A"/>
    <w:pPr>
      <w:spacing w:after="120"/>
    </w:pPr>
  </w:style>
  <w:style w:type="character" w:customStyle="1" w:styleId="a4">
    <w:name w:val="Основной текст Знак"/>
    <w:basedOn w:val="a0"/>
    <w:link w:val="a3"/>
    <w:uiPriority w:val="99"/>
    <w:rsid w:val="00B52B6A"/>
    <w:rPr>
      <w:rFonts w:eastAsia="Times New Roman"/>
      <w:sz w:val="20"/>
      <w:szCs w:val="20"/>
      <w:lang w:eastAsia="ru-RU"/>
    </w:rPr>
  </w:style>
  <w:style w:type="table" w:styleId="a5">
    <w:name w:val="Table Grid"/>
    <w:basedOn w:val="a1"/>
    <w:uiPriority w:val="39"/>
    <w:rsid w:val="00DB1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72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2290</Words>
  <Characters>13054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2022-08-22T14:32:00Z</dcterms:created>
  <dcterms:modified xsi:type="dcterms:W3CDTF">2022-08-22T14:32:00Z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Buyurtmachining to‘liq nomi</w:name>
    <w:value w:hidden="false">
      <w:unit w:active="false"/>
    </w:value>
  </w:element>
  <w:element w:id="7" w:kind="variable" w:selector="check" w:type="string" w:valueMode="normal" w:required="false" w:groupID="5">
    <w:identifier xml:space="preserve">ID7</w:identifier>
    <w:name xml:space="preserve">Buyurtmachiga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Buyurtmachi tashkilot masʼul shaxsi lavozimi va F.I.O.si</w:name>
    <w:value w:hidden="false">
      <w:unit w:active="false"/>
    </w:value>
  </w:element>
  <w:element w:id="9" w:kind="variable" w:selector="check" w:type="string" w:valueMode="normal" w:required="false" w:groupID="5">
    <w:identifier xml:space="preserve">ID9</w:identifier>
    <w:name xml:space="preserve">Buyurtmachi tashkilotning manzili</w:name>
    <w:value w:hidden="false">
      <w:unit w:active="false"/>
    </w:value>
  </w:element>
  <w:element w:id="10" w:kind="variable" w:selector="check" w:type="string" w:valueMode="normal" w:required="false" w:groupID="5">
    <w:identifier xml:space="preserve">ID10</w:identifier>
    <w:name xml:space="preserve">Buyurtmachining hisob raqami</w:name>
    <w:value w:hidden="false">
      <w:unit w:active="false"/>
    </w:value>
  </w:element>
  <w:element w:id="11" w:kind="variable" w:selector="check" w:type="string" w:valueMode="normal" w:required="false" w:groupID="5">
    <w:identifier xml:space="preserve">ID11</w:identifier>
    <w:name xml:space="preserve">Buyurtmachining pul operatsiyalarini amalga oshiruvchi bank nomi</w:name>
    <w:value w:hidden="false">
      <w:unit w:active="false"/>
    </w:value>
  </w:element>
  <w:element w:id="12" w:kind="variable" w:selector="check" w:type="string" w:valueMode="normal" w:required="false" w:groupID="5">
    <w:identifier xml:space="preserve">ID12</w:identifier>
    <w:name xml:space="preserve">Buyurtmachining STIR raqami</w:name>
    <w:value w:hidden="false">
      <w:unit w:active="false"/>
    </w:value>
  </w:element>
  <w:element w:id="13" w:kind="variable" w:selector="check" w:type="string" w:valueMode="normal" w:required="false" w:groupID="5">
    <w:identifier xml:space="preserve">ID13</w:identifier>
    <w:name xml:space="preserve">Buyurtmachining telefon raqami</w:name>
    <w:value w:hidden="false">
      <w:unit w:active="false"/>
    </w:value>
  </w:element>
  <w:element w:id="14" w:kind="category" w:selector="check" w:type="string" w:valueMode="normal" w:required="false">
    <w:identifier xml:space="preserve">ID14</w:identifier>
    <w:name xml:space="preserve">Ijrochi</w:name>
    <w:value w:hidden="true">
      <w:unit w:active="false"/>
    </w:value>
  </w:element>
  <w:element w:id="15" w:kind="variable" w:selector="check" w:type="string" w:valueMode="normal" w:required="false" w:groupID="14">
    <w:identifier xml:space="preserve">ID15</w:identifier>
    <w:name xml:space="preserve">Ijrochi tashkilotning nomi</w:name>
    <w:value w:hidden="false">
      <w:unit w:active="false"/>
    </w:value>
  </w:element>
  <w:element w:id="16" w:kind="variable" w:selector="check" w:type="string" w:valueMode="normal" w:required="false" w:groupID="14">
    <w:identifier xml:space="preserve">ID16</w:identifier>
    <w:name xml:space="preserve">shartnoma </w:name>
    <w:comment xml:space="preserve">Masalan: Ustav, Nizom yoki ishonchnoma</w:comment>
    <w:value w:hidden="false">
      <w:unit w:active="false"/>
    </w:value>
  </w:element>
  <w:element w:id="17" w:kind="variable" w:selector="check" w:type="string" w:valueMode="normal" w:required="false" w:groupID="14">
    <w:identifier xml:space="preserve">ID17</w:identifier>
    <w:name xml:space="preserve">Ijrochi tashkilot maʼsul shaxsining lavozimi va F.I.O.si</w:name>
    <w:value w:hidden="false">
      <w:unit w:active="false"/>
    </w:value>
  </w:element>
  <w:element w:id="18" w:kind="variable" w:selector="check" w:type="string" w:valueMode="normal" w:required="false" w:groupID="14">
    <w:identifier xml:space="preserve">ID18</w:identifier>
    <w:name xml:space="preserve">Ijrochining manzili</w:name>
    <w:value w:hidden="false">
      <w:unit w:active="false"/>
    </w:value>
  </w:element>
  <w:element w:id="19" w:kind="variable" w:selector="check" w:type="string" w:valueMode="normal" w:required="false" w:groupID="14">
    <w:identifier xml:space="preserve">ID19</w:identifier>
    <w:name xml:space="preserve">Ijrochining hisob raqami</w:name>
    <w:value w:hidden="false">
      <w:unit w:active="false"/>
    </w:value>
  </w:element>
  <w:element w:id="20" w:kind="variable" w:selector="check" w:type="string" w:valueMode="normal" w:required="false" w:groupID="14">
    <w:identifier xml:space="preserve">ID20</w:identifier>
    <w:name xml:space="preserve">Ijrochining pul operatsiyalarini amalga oshiruvchi bank nomi</w:name>
    <w:value w:hidden="false">
      <w:unit w:active="false"/>
    </w:value>
  </w:element>
  <w:element w:id="21" w:kind="variable" w:selector="check" w:type="string" w:valueMode="normal" w:required="false" w:groupID="14">
    <w:identifier xml:space="preserve">ID21</w:identifier>
    <w:name xml:space="preserve">Ijrochining STIR raqami</w:name>
    <w:value w:hidden="false">
      <w:unit w:active="false"/>
    </w:value>
  </w:element>
  <w:element w:id="22" w:kind="variable" w:selector="check" w:type="string" w:valueMode="normal" w:required="false" w:groupID="14">
    <w:identifier xml:space="preserve">ID22</w:identifier>
    <w:name xml:space="preserve">Ijrochining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Reklama (tarqatma) materiallarining nomi</w:name>
    <w:value w:hidden="false">
      <w:unit w:active="false"/>
    </w:value>
  </w:element>
  <w:element w:id="25" w:kind="variable" w:selector="check" w:type="string" w:valueMode="normal" w:required="false" w:groupID="23">
    <w:identifier xml:space="preserve">ID25</w:identifier>
    <w:name xml:space="preserve">Reklama (tarqatma) materiallarining qisqacha mazmuni</w:name>
    <w:value w:hidden="false">
      <w:unit w:active="false"/>
    </w:value>
  </w:element>
  <w:element w:id="26" w:kind="variable" w:selector="check" w:type="string" w:valueMode="normal" w:required="false" w:groupID="23">
    <w:identifier xml:space="preserve">ID26</w:identifier>
    <w:name xml:space="preserve">Reklama (tarqatma) materiallari soni (nusxa)</w:name>
    <w:value w:hidden="false">
      <w:unit w:active="false"/>
    </w:value>
  </w:element>
  <w:element w:id="27" w:kind="variable" w:selector="check" w:type="string" w:valueMode="normal" w:required="false" w:groupID="23">
    <w:identifier xml:space="preserve">ID27</w:identifier>
    <w:name xml:space="preserve">Reklama (tarqatma) materiallarining formati</w:name>
    <w:value w:hidden="false">
      <w:unit w:active="false"/>
    </w:value>
  </w:element>
  <w:element w:id="28" w:kind="variable" w:selector="check" w:type="string" w:valueMode="normal" w:required="false" w:groupID="23">
    <w:identifier xml:space="preserve">ID28</w:identifier>
    <w:name xml:space="preserve">Reklama (tarqatma) materiallarining narxi (QQS qo‘shib hisoblanganda)</w:name>
    <w:value w:hidden="false">
      <w:unit w:active="false"/>
    </w:value>
  </w:element>
  <w:element w:id="29" w:kind="variable" w:selector="check" w:type="string" w:valueMode="normal" w:required="false" w:groupID="23">
    <w:identifier xml:space="preserve">ID29</w:identifier>
    <w:name xml:space="preserve">Shartnomaning umumiy qiymati (QQS qo‘shib hisoblanganda)</w:name>
    <w:value w:hidden="false">
      <w:unit w:active="false"/>
    </w:value>
  </w:element>
  <w:element w:id="30" w:kind="variable" w:selector="check" w:type="string" w:valueMode="normal" w:required="false" w:groupID="23">
    <w:identifier xml:space="preserve">ID30</w:identifier>
    <w:name xml:space="preserve">Yetkazib beriladigan tovarlar (ishlar, xizmatlar) uchun oldindan to‘lanishi kerak bo‘lgan mablag‘ miqdori</w:name>
    <w:value w:hidden="false">
      <w:unit w:active="false"/>
    </w:value>
  </w:element>
  <w:element w:id="31" w:kind="variable" w:selector="check" w:type="string" w:valueMode="normal" w:required="false" w:groupID="23">
    <w:identifier xml:space="preserve">ID31</w:identifier>
    <w:name xml:space="preserve">Shartnoma bo‘yicha qolgan yetkazib beriladigan tovarlar (ishlar, xizmatlar) uchun to‘lanadigan to‘lov qiymati</w:name>
    <w:value w:hidden="false">
      <w:unit w:active="false"/>
    </w:value>
  </w:element>
  <w:element w:id="32" w:kind="variable" w:selector="check" w:type="string" w:valueMode="normal" w:required="false" w:groupID="23">
    <w:identifier xml:space="preserve">ID32</w:identifier>
    <w:name xml:space="preserve">Shartnoma bo‘yicha qolgan yetkazib beriladigan tovarlar (ishlar, xizmatlar) uchun to‘lanadigan to‘lov qiymati o‘tkazib beriladigan muddat</w:name>
    <w:value w:hidden="false">
      <w:unit w:active="false"/>
    </w:value>
  </w:element>
  <w:element w:id="33" w:kind="variable" w:selector="check" w:type="string" w:valueMode="normal" w:required="false" w:groupID="23">
    <w:identifier xml:space="preserve">ID33</w:identifier>
    <w:name xml:space="preserve">Shartnoma Respublika G‘aznachiligidan ro‘yxatdan o‘tgandan so‘ng shartnoma bo‘yicha yetkazib beriladigan tovarlar (ishlar, xizmatlar)ni to‘liq yetkazib berishi hamda o‘rnatish muddati</w:name>
    <w:value w:hidden="false">
      <w:unit w:active="false"/>
    </w:value>
  </w:element>
  <w:element w:id="34" w:kind="variable" w:selector="check" w:type="string" w:valueMode="normal" w:required="false" w:groupID="23">
    <w:identifier xml:space="preserve">ID34</w:identifier>
    <w:name xml:space="preserve">Ijrochining boshqa huquqlari</w:name>
    <w:value w:hidden="false">
      <w:unit w:active="false"/>
    </w:value>
  </w:element>
  <w:element w:id="35" w:kind="variable" w:selector="check" w:type="string" w:valueMode="normal" w:required="false" w:groupID="23">
    <w:identifier xml:space="preserve">ID35</w:identifier>
    <w:name xml:space="preserve">Ijrochining boshqa majburiyatlari</w:name>
    <w:value w:hidden="false">
      <w:unit w:active="false"/>
    </w:value>
  </w:element>
  <w:element w:id="36" w:kind="variable" w:selector="check" w:type="string" w:valueMode="normal" w:required="false" w:groupID="23">
    <w:identifier xml:space="preserve">ID36</w:identifier>
    <w:name xml:space="preserve">Buyurtmachining boshqa huquqlari</w:name>
    <w:value w:hidden="false">
      <w:unit w:active="false"/>
    </w:value>
  </w:element>
  <w:element w:id="37" w:kind="variable" w:selector="check" w:type="string" w:valueMode="normal" w:required="false" w:groupID="23">
    <w:identifier xml:space="preserve">ID37</w:identifier>
    <w:name xml:space="preserve">Buyurtmachining boshqa majburiyatlari</w:name>
    <w:value w:hidden="false">
      <w:unit w:active="false"/>
    </w:value>
  </w:element>
  <w:element w:id="38" w:kind="variable" w:selector="check" w:type="string" w:valueMode="normal" w:required="false" w:groupID="23">
    <w:identifier xml:space="preserve">ID38</w:identifier>
    <w:name xml:space="preserve">Har bir yetkazib berilmagan yoki yetkazib berish muddatlari buzilgan tovarlar (ishlar, xizmatlar) uchun ularning umumiy summasiga nisbatan belgilangan penyaning foiz qiymati</w:name>
    <w:value w:hidden="false">
      <w:unit w:active="false"/>
    </w:value>
  </w:element>
  <w:element w:id="39" w:kind="variable" w:selector="check" w:type="string" w:valueMode="normal" w:required="false" w:groupID="23">
    <w:identifier xml:space="preserve">ID39</w:identifier>
    <w:name xml:space="preserve">Majburiyat amalda bajarilguniga qadar undiriladigan pul miqdori (Yetkazib berilgan tovarlar (ishlar, xizmatlar) umumiy summasidan kelib chiqqan holda foizda)</w:name>
    <w:value w:hidden="false">
      <w:unit w:active="false"/>
    </w:value>
  </w:element>
  <w:element w:id="40" w:kind="variable" w:selector="check" w:type="string" w:valueMode="normal" w:required="false" w:groupID="23">
    <w:identifier xml:space="preserve">ID40</w:identifier>
    <w:name xml:space="preserve">Bajarilmagan ishlar qiymati uchun belgilangan penya miqdorining chegara qiymati (foizda)</w:name>
    <w:value w:hidden="false">
      <w:unit w:active="false"/>
    </w:value>
  </w:element>
  <w:element w:id="41" w:kind="variable" w:selector="check" w:type="string" w:valueMode="normal" w:required="false" w:groupID="23">
    <w:identifier xml:space="preserve">ID41</w:identifier>
    <w:name xml:space="preserve">Taraflar shartnoma shartlarini bajarishdan qisman yoki to‘liq ozod etilishlariga sabab bo‘ladigan fors-major holatlarining sodir bo‘lishining eng kam muddati</w:name>
    <w:value w:hidden="false">
      <w:unit w:active="false"/>
    </w:value>
  </w:element>
  <w:element w:id="42" w:kind="variable" w:selector="check" w:type="string" w:valueMode="normal" w:required="false" w:groupID="23">
    <w:identifier xml:space="preserve">ID42</w:identifier>
    <w:name xml:space="preserve">Shartnomaning amal qilish muddati (yil, sana va oy)</w:name>
    <w:value w:hidden="false">
      <w:unit w:active="false"/>
    </w:value>
  </w:element>
</w:structure>
</file>