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ind w:firstLine="425"/>
        <w:spacing w:after="0" w:line="288" w:lineRule="auto"/>
        <w:rPr>
          <w:sz w:val="28"/>
          <w:rFonts w:ascii="Times New Roman" w:hAnsi="Times New Roman"/>
        </w:rPr>
      </w:pPr>
    </w:p>
    <w:p>
      <w:pPr>
        <w:rPr>
          <w:sz w:val="28"/>
          <w:rFonts w:ascii="Times New Roman" w:hAnsi="Times New Roman"/>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2409"/>
        <w:gridCol w:w="3821"/>
      </w:tblGrid>
      <w:tr>
        <w:tc>
          <w:tcPr>
            <w:tcW w:w="3115" w:type="dxa"/>
          </w:tcPr>
          <w:p/>
        </w:tc>
        <w:tc>
          <w:tcPr>
            <w:tcW w:w="2409" w:type="dxa"/>
          </w:tcPr>
          <w:p/>
        </w:tc>
        <w:tc>
          <w:tcPr>
            <w:tcW w:w="3821" w:type="dxa"/>
          </w:tcPr>
          <w:p>
            <w:r>
              <w:rPr>
                <w:b/>
                <w:sz w:val="28"/>
                <w:rFonts w:ascii="Times New Roman" w:hAnsi="Times New Roman"/>
              </w:rPr>
              <w:t xml:space="preserve">Fuqarolik ishlari bo‘yicha</w:t>
            </w:r>
            <w:r>
              <w:rPr>
                <w:sz w:val="28"/>
                <w:rFonts w:ascii="Times New Roman" w:hAnsi="Times New Roman"/>
              </w:rPr>
              <w:t xml:space="preserve">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Da’vo-ariza berilgan fuqarolik ishlari bo‘yicha sud nomi</w:t>
              <w:fldChar w:fldCharType="end"/>
            </w:r>
            <w:r>
              <w:rPr>
                <w:sz w:val="28"/>
                <w:rFonts w:ascii="Times New Roman" w:hAnsi="Times New Roman"/>
              </w:rPr>
              <w:t xml:space="preserve"> sudiga </w:t>
            </w:r>
          </w:p>
        </w:tc>
      </w:tr>
      <w:tr>
        <w:tc>
          <w:tcPr>
            <w:tcW w:w="3115" w:type="dxa"/>
          </w:tcPr>
          <w:p/>
        </w:tc>
        <w:tc>
          <w:tcPr>
            <w:tcW w:w="2409" w:type="dxa"/>
          </w:tcPr>
          <w:p/>
        </w:tc>
        <w:tc>
          <w:tcPr>
            <w:tcW w:w="3821" w:type="dxa"/>
          </w:tcPr>
          <w:p>
            <w:r>
              <w:rPr>
                <w:b/>
                <w:sz w:val="28"/>
                <w:rFonts w:ascii="Times New Roman" w:hAnsi="Times New Roman"/>
              </w:rPr>
              <w:t xml:space="preserve">Da’vogar (prokuror): </w:t>
            </w:r>
            <w:r>
              <w:rPr>
                <w:b/>
                <w:vanish w:val="false"/>
                <w:sz w:val="28"/>
                <w:rFonts w:ascii="Times New Roman" w:hAnsi="Times New Roman"/>
              </w:rPr>
              <w:fldChar w:fldCharType="begin"/>
              <w:instrText xml:space="preserve">X {"Y":5}</w:instrText>
              <w:fldChar w:fldCharType="separate"/>
            </w:r>
            <w:r>
              <w:rPr>
                <w:b/>
                <w:vanish w:val="false"/>
                <w:sz w:val="28"/>
                <w:rFonts w:ascii="Times New Roman" w:hAnsi="Times New Roman"/>
              </w:rPr>
              <w:t xml:space="preserve">Da’vogarning F.I.O.si</w:t>
              <w:fldChar w:fldCharType="end"/>
            </w:r>
          </w:p>
        </w:tc>
      </w:tr>
      <w:tr>
        <w:tc>
          <w:tcPr>
            <w:tcW w:w="3115" w:type="dxa"/>
          </w:tcPr>
          <w:p/>
        </w:tc>
        <w:tc>
          <w:tcPr>
            <w:tcW w:w="2409" w:type="dxa"/>
          </w:tcPr>
          <w:p/>
        </w:tc>
        <w:tc>
          <w:tcPr>
            <w:tcW w:w="3821" w:type="dxa"/>
          </w:tcPr>
          <w:p>
            <w:r>
              <w:rPr>
                <w:sz w:val="28"/>
                <w:rFonts w:ascii="Times New Roman" w:hAnsi="Times New Roman"/>
              </w:rPr>
              <w:t xml:space="preserve">Manzil: </w:t>
            </w: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Da’vo ariza bergan prokuratura joylashgan manzili</w:t>
              <w:fldChar w:fldCharType="end"/>
            </w:r>
          </w:p>
        </w:tc>
      </w:tr>
      <w:tr>
        <w:tc>
          <w:tcPr>
            <w:tcW w:w="3115" w:type="dxa"/>
          </w:tcPr>
          <w:p/>
        </w:tc>
        <w:tc>
          <w:tcPr>
            <w:tcW w:w="2409" w:type="dxa"/>
          </w:tcPr>
          <w:p/>
        </w:tc>
        <w:tc>
          <w:tcPr>
            <w:tcW w:w="3821" w:type="dxa"/>
          </w:tcPr>
          <w:p>
            <w:r>
              <w:rPr>
                <w:sz w:val="28"/>
                <w:rFonts w:ascii="Times New Roman" w:hAnsi="Times New Roman"/>
              </w:rPr>
              <w:t xml:space="preserve">Telefon: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Da’vogarning telefon raqamlari</w:t>
              <w:fldChar w:fldCharType="end"/>
            </w:r>
          </w:p>
        </w:tc>
      </w:tr>
      <w:tr>
        <w:tc>
          <w:tcPr>
            <w:tcW w:w="3115" w:type="dxa"/>
          </w:tcPr>
          <w:p/>
        </w:tc>
        <w:tc>
          <w:tcPr>
            <w:tcW w:w="2409" w:type="dxa"/>
          </w:tcPr>
          <w:p/>
        </w:tc>
        <w:tc>
          <w:tcPr>
            <w:tcW w:w="3821" w:type="dxa"/>
          </w:tcPr>
          <w:p>
            <w:pPr>
              <w:rPr>
                <w:sz w:val="28"/>
                <w:rFonts w:ascii="Times New Roman" w:hAnsi="Times New Roman"/>
              </w:rPr>
            </w:pPr>
            <w:r>
              <w:rPr>
                <w:sz w:val="28"/>
                <w:rFonts w:ascii="Times New Roman" w:hAnsi="Times New Roman"/>
              </w:rPr>
              <w:t xml:space="preserve">E mail: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Da’vogarning pochta (elektron) manzili</w:t>
              <w:fldChar w:fldCharType="end"/>
            </w:r>
          </w:p>
        </w:tc>
      </w:tr>
      <w:tr>
        <w:tc>
          <w:tcPr>
            <w:tcW w:w="3115" w:type="dxa"/>
          </w:tcPr>
          <w:p/>
        </w:tc>
        <w:tc>
          <w:tcPr>
            <w:tcW w:w="2409" w:type="dxa"/>
          </w:tcPr>
          <w:p/>
        </w:tc>
        <w:tc>
          <w:tcPr>
            <w:tcW w:w="3821" w:type="dxa"/>
          </w:tcPr>
          <w:p>
            <w:r>
              <w:rPr>
                <w:b/>
                <w:sz w:val="28"/>
                <w:rFonts w:ascii="Times New Roman" w:hAnsi="Times New Roman"/>
              </w:rPr>
              <w:t xml:space="preserve">Birinchi javobgar (er): </w:t>
            </w:r>
            <w:r>
              <w:rPr>
                <w:b/>
                <w:vanish w:val="false"/>
                <w:sz w:val="28"/>
                <w:rFonts w:ascii="Times New Roman" w:hAnsi="Times New Roman"/>
              </w:rPr>
              <w:fldChar w:fldCharType="begin"/>
              <w:instrText xml:space="preserve">X {"Y":10}</w:instrText>
              <w:fldChar w:fldCharType="separate"/>
            </w:r>
            <w:r>
              <w:rPr>
                <w:b/>
                <w:vanish w:val="false"/>
                <w:sz w:val="28"/>
                <w:rFonts w:ascii="Times New Roman" w:hAnsi="Times New Roman"/>
              </w:rPr>
              <w:t xml:space="preserve">Javobgarning F.I.O.si</w:t>
              <w:fldChar w:fldCharType="end"/>
            </w:r>
          </w:p>
        </w:tc>
      </w:tr>
      <w:tr>
        <w:tc>
          <w:tcPr>
            <w:tcW w:w="3115" w:type="dxa"/>
          </w:tcPr>
          <w:p/>
        </w:tc>
        <w:tc>
          <w:tcPr>
            <w:tcW w:w="2409" w:type="dxa"/>
          </w:tcPr>
          <w:p/>
        </w:tc>
        <w:tc>
          <w:tcPr>
            <w:tcW w:w="3821" w:type="dxa"/>
          </w:tcPr>
          <w:p>
            <w:r>
              <w:rPr>
                <w:sz w:val="28"/>
                <w:rFonts w:ascii="Times New Roman" w:hAnsi="Times New Roman"/>
              </w:rPr>
              <w:t xml:space="preserve">Manzil: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Javobgarning yashash manzili</w:t>
              <w:fldChar w:fldCharType="end"/>
            </w:r>
          </w:p>
        </w:tc>
      </w:tr>
      <w:tr>
        <w:tc>
          <w:tcPr>
            <w:tcW w:w="3115" w:type="dxa"/>
          </w:tcPr>
          <w:p/>
        </w:tc>
        <w:tc>
          <w:tcPr>
            <w:tcW w:w="2409" w:type="dxa"/>
          </w:tcPr>
          <w:p/>
        </w:tc>
        <w:tc>
          <w:tcPr>
            <w:tcW w:w="3821" w:type="dxa"/>
          </w:tcPr>
          <w:p>
            <w:r>
              <w:rPr>
                <w:sz w:val="28"/>
                <w:rFonts w:ascii="Times New Roman" w:hAnsi="Times New Roman"/>
              </w:rPr>
              <w:t xml:space="preserve">Telefon: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Javobgarning telefon raqamlari</w:t>
              <w:fldChar w:fldCharType="end"/>
            </w:r>
          </w:p>
        </w:tc>
      </w:tr>
      <w:tr>
        <w:tc>
          <w:tcPr>
            <w:tcW w:w="3115" w:type="dxa"/>
          </w:tcPr>
          <w:p/>
        </w:tc>
        <w:tc>
          <w:tcPr>
            <w:tcW w:w="2409" w:type="dxa"/>
          </w:tcPr>
          <w:p/>
        </w:tc>
        <w:tc>
          <w:tcPr>
            <w:tcW w:w="3821" w:type="dxa"/>
          </w:tcPr>
          <w:p>
            <w:pPr>
              <w:rPr>
                <w:sz w:val="28"/>
                <w:rFonts w:ascii="Times New Roman" w:hAnsi="Times New Roman"/>
              </w:rPr>
            </w:pPr>
            <w:r>
              <w:rPr>
                <w:sz w:val="28"/>
                <w:rFonts w:ascii="Times New Roman" w:hAnsi="Times New Roman"/>
              </w:rPr>
              <w:t xml:space="preserve">E mail: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Javobgarning pochta (elektron) manzili</w:t>
              <w:fldChar w:fldCharType="end"/>
            </w:r>
          </w:p>
        </w:tc>
      </w:tr>
      <w:tr>
        <w:tc>
          <w:tcPr>
            <w:tcW w:w="3115" w:type="dxa"/>
          </w:tcPr>
          <w:p/>
        </w:tc>
        <w:tc>
          <w:tcPr>
            <w:tcW w:w="2409" w:type="dxa"/>
          </w:tcPr>
          <w:p/>
        </w:tc>
        <w:tc>
          <w:tcPr>
            <w:tcW w:w="3821" w:type="dxa"/>
          </w:tcPr>
          <w:p>
            <w:r>
              <w:rPr>
                <w:b/>
                <w:sz w:val="28"/>
                <w:rFonts w:ascii="Times New Roman" w:hAnsi="Times New Roman"/>
              </w:rPr>
              <w:t xml:space="preserve">Ikkinchi javobgar (xotin): </w:t>
            </w:r>
            <w:r>
              <w:rPr>
                <w:b/>
                <w:vanish w:val="false"/>
                <w:sz w:val="28"/>
                <w:rFonts w:ascii="Times New Roman" w:hAnsi="Times New Roman"/>
              </w:rPr>
              <w:fldChar w:fldCharType="begin"/>
              <w:instrText xml:space="preserve">X {"Y":15}</w:instrText>
              <w:fldChar w:fldCharType="separate"/>
            </w:r>
            <w:r>
              <w:rPr>
                <w:b/>
                <w:vanish w:val="false"/>
                <w:sz w:val="28"/>
                <w:rFonts w:ascii="Times New Roman" w:hAnsi="Times New Roman"/>
              </w:rPr>
              <w:t xml:space="preserve">Javobgarning F.I.O.si</w:t>
              <w:fldChar w:fldCharType="end"/>
            </w:r>
          </w:p>
        </w:tc>
      </w:tr>
      <w:tr>
        <w:tc>
          <w:tcPr>
            <w:tcW w:w="3115" w:type="dxa"/>
          </w:tcPr>
          <w:p/>
        </w:tc>
        <w:tc>
          <w:tcPr>
            <w:tcW w:w="2409" w:type="dxa"/>
          </w:tcPr>
          <w:p/>
        </w:tc>
        <w:tc>
          <w:tcPr>
            <w:tcW w:w="3821" w:type="dxa"/>
          </w:tcPr>
          <w:p>
            <w:r>
              <w:rPr>
                <w:sz w:val="28"/>
                <w:rFonts w:ascii="Times New Roman" w:hAnsi="Times New Roman"/>
              </w:rPr>
              <w:t xml:space="preserve">Manzil: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Javobgarning yashash manzili</w:t>
              <w:fldChar w:fldCharType="end"/>
            </w:r>
          </w:p>
        </w:tc>
      </w:tr>
      <w:tr>
        <w:tc>
          <w:tcPr>
            <w:tcW w:w="3115" w:type="dxa"/>
          </w:tcPr>
          <w:p/>
        </w:tc>
        <w:tc>
          <w:tcPr>
            <w:tcW w:w="2409" w:type="dxa"/>
          </w:tcPr>
          <w:p/>
        </w:tc>
        <w:tc>
          <w:tcPr>
            <w:tcW w:w="3821" w:type="dxa"/>
          </w:tcPr>
          <w:p>
            <w:r>
              <w:rPr>
                <w:sz w:val="28"/>
                <w:rFonts w:ascii="Times New Roman" w:hAnsi="Times New Roman"/>
              </w:rPr>
              <w:t xml:space="preserve">Telefon: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Javobgarning telefon raqamlari</w:t>
              <w:fldChar w:fldCharType="end"/>
            </w:r>
          </w:p>
        </w:tc>
      </w:tr>
      <w:tr>
        <w:tc>
          <w:tcPr>
            <w:tcW w:w="3115" w:type="dxa"/>
          </w:tcPr>
          <w:p/>
        </w:tc>
        <w:tc>
          <w:tcPr>
            <w:tcW w:w="2409" w:type="dxa"/>
          </w:tcPr>
          <w:p/>
        </w:tc>
        <w:tc>
          <w:tcPr>
            <w:tcW w:w="3821" w:type="dxa"/>
          </w:tcPr>
          <w:p>
            <w:pPr>
              <w:rPr>
                <w:sz w:val="28"/>
                <w:rFonts w:ascii="Times New Roman" w:hAnsi="Times New Roman"/>
              </w:rPr>
            </w:pPr>
            <w:r>
              <w:rPr>
                <w:sz w:val="28"/>
                <w:rFonts w:ascii="Times New Roman" w:hAnsi="Times New Roman"/>
              </w:rPr>
              <w:t xml:space="preserve">E mail: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Javobgarning pochta (elektron) manzili</w:t>
              <w:fldChar w:fldCharType="end"/>
            </w:r>
          </w:p>
        </w:tc>
      </w:tr>
    </w:tbl>
    <w:p/>
    <w:p>
      <w:pPr>
        <w:jc w:val="center"/>
        <w:ind w:firstLine="425"/>
        <w:spacing w:after="0" w:line="288" w:lineRule="auto"/>
        <w:rPr>
          <w:sz w:val="28"/>
          <w:rFonts w:ascii="Times New Roman" w:hAnsi="Times New Roman"/>
        </w:rPr>
      </w:pPr>
    </w:p>
    <w:p>
      <w:pPr>
        <w:jc w:val="center"/>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D A ‘ V O  A R I Z A S I</w:t>
      </w:r>
    </w:p>
    <w:p>
      <w:pPr>
        <w:jc w:val="center"/>
        <w:ind w:firstLine="425"/>
        <w:spacing w:after="0" w:line="288" w:lineRule="auto"/>
        <w:rPr>
          <w:i/>
          <w:sz w:val="28"/>
          <w:rFonts w:ascii="Times New Roman" w:hAnsi="Times New Roman"/>
        </w:rPr>
      </w:pPr>
      <w:r>
        <w:rPr>
          <w:i/>
          <w:sz w:val="28"/>
          <w:rFonts w:ascii="Times New Roman" w:hAnsi="Times New Roman"/>
        </w:rPr>
        <w:t xml:space="preserve">(Soxta nikohni haqiqiy emas deb topish to‘g‘risida)</w:t>
      </w:r>
    </w:p>
    <w:p>
      <w:pPr>
        <w:jc w:val="both"/>
        <w:ind w:firstLine="425"/>
        <w:spacing w:after="0" w:line="288" w:lineRule="auto"/>
        <w:rPr>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Javobgarlar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 va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lar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Javogarlarni qayd etgan tuman (shahar) FHDYo bo‘limi</w:t>
        <w:fldChar w:fldCharType="end"/>
      </w:r>
      <w:r>
        <w:rPr>
          <w:sz w:val="28"/>
          <w:rFonts w:ascii="Times New Roman" w:hAnsi="Times New Roman"/>
        </w:rPr>
        <w:t xml:space="preserve"> FHDYo bo‘limida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FHDYo bo‘limida nikoh qayd etilgan raqam</w:t>
        <w:fldChar w:fldCharType="end"/>
      </w:r>
      <w:r>
        <w:rPr>
          <w:sz w:val="28"/>
          <w:rFonts w:ascii="Times New Roman" w:hAnsi="Times New Roman"/>
        </w:rPr>
        <w:t xml:space="preserve">-son bilan qayd etilgan qonuniy nikohdan o‘tib turmush qurishgan.</w:t>
      </w:r>
    </w:p>
    <w:p>
      <w:pPr>
        <w:jc w:val="both"/>
        <w:ind w:firstLine="425"/>
        <w:spacing w:after="0" w:line="288" w:lineRule="auto"/>
        <w:rPr>
          <w:sz w:val="28"/>
          <w:rFonts w:ascii="Times New Roman" w:hAnsi="Times New Roman"/>
        </w:rPr>
      </w:pPr>
      <w:r>
        <w:rPr>
          <w:sz w:val="28"/>
          <w:rFonts w:ascii="Times New Roman" w:hAnsi="Times New Roman"/>
        </w:rPr>
        <w:t xml:space="preserve">Aniqlanishicha, taraflarning oila qurishdan asosiy maqsadi </w:t>
      </w: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Nikoh tuzishning asl sabablari</w:t>
        <w:fldChar w:fldCharType="end"/>
      </w:r>
      <w:r>
        <w:rPr>
          <w:sz w:val="28"/>
          <w:rFonts w:ascii="Times New Roman" w:hAnsi="Times New Roman"/>
        </w:rPr>
        <w:t>.</w:t>
      </w:r>
    </w:p>
    <w:p>
      <w:pPr>
        <w:jc w:val="both"/>
        <w:ind w:firstLine="425"/>
        <w:spacing w:after="0" w:line="288" w:lineRule="auto"/>
        <w:rPr>
          <w:sz w:val="28"/>
          <w:rFonts w:ascii="Times New Roman" w:hAnsi="Times New Roman"/>
        </w:rPr>
      </w:pPr>
      <w:r>
        <w:rPr>
          <w:sz w:val="28"/>
          <w:rFonts w:ascii="Times New Roman" w:hAnsi="Times New Roman"/>
        </w:rPr>
        <w:t xml:space="preserve">Hozirda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 va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lar oila qurmagan holda </w:t>
      </w:r>
      <w:r>
        <w:rPr>
          <w:vanish w:val="false"/>
          <w:sz w:val="28"/>
          <w:rFonts w:ascii="Times New Roman" w:hAnsi="Times New Roman"/>
        </w:rPr>
        <w:fldChar w:fldCharType="begin"/>
        <w:instrText xml:space="preserve">X {"Y":23}</w:instrText>
        <w:fldChar w:fldCharType="separate"/>
      </w:r>
      <w:r>
        <w:rPr>
          <w:vanish w:val="false"/>
          <w:sz w:val="28"/>
          <w:rFonts w:ascii="Times New Roman" w:hAnsi="Times New Roman"/>
        </w:rPr>
        <w:t xml:space="preserve">Soxta nikoh orqali noqonuniy amalga oshirgan ishlar</w:t>
        <w:fldChar w:fldCharType="end"/>
      </w:r>
      <w:r>
        <w:rPr>
          <w:sz w:val="28"/>
          <w:rFonts w:ascii="Times New Roman" w:hAnsi="Times New Roman"/>
        </w:rPr>
        <w:t xml:space="preserve"> kabi ishlarni amalga oshirib kelgan.</w:t>
      </w:r>
    </w:p>
    <w:p>
      <w:pPr>
        <w:jc w:val="both"/>
        <w:ind w:firstLine="425"/>
        <w:spacing w:after="0" w:line="288" w:lineRule="auto"/>
        <w:rPr>
          <w:sz w:val="28"/>
          <w:rFonts w:ascii="Times New Roman" w:hAnsi="Times New Roman"/>
        </w:rPr>
      </w:pPr>
      <w:r>
        <w:rPr>
          <w:sz w:val="28"/>
          <w:rFonts w:ascii="Times New Roman" w:hAnsi="Times New Roman"/>
        </w:rPr>
        <w:t xml:space="preserve">Konstitutsiyamizning 76-moddasi ikkinchi qismida nikoh O‘zbekiston xalqining an’anaviy oilaviy qadriyatlariga, nikohlanuvchilarning ixtiyoriy roziligiga va teng huquqliligiga asoslanishi belgilangan.</w:t>
      </w:r>
    </w:p>
    <w:p>
      <w:pPr>
        <w:jc w:val="both"/>
        <w:ind w:firstLine="425"/>
        <w:spacing w:after="0" w:line="288" w:lineRule="auto"/>
        <w:rPr>
          <w:sz w:val="28"/>
          <w:rFonts w:ascii="Times New Roman" w:hAnsi="Times New Roman"/>
        </w:rPr>
      </w:pPr>
      <w:r>
        <w:rPr>
          <w:sz w:val="28"/>
          <w:rFonts w:ascii="Times New Roman" w:hAnsi="Times New Roman"/>
        </w:rPr>
        <w:t xml:space="preserve">Oila kodeksining 54-moddasiga ko‘ra, er-xotin soxta nikoh qayd qildirgan va oila qurmagan bo‘lsalar nikoh haqiqiy emas deb topilishi mumkin.</w:t>
      </w:r>
    </w:p>
    <w:p>
      <w:pPr>
        <w:jc w:val="both"/>
        <w:ind w:firstLine="425"/>
        <w:spacing w:after="0" w:line="288" w:lineRule="auto"/>
        <w:rPr>
          <w:sz w:val="28"/>
          <w:rFonts w:ascii="Times New Roman" w:hAnsi="Times New Roman"/>
        </w:rPr>
      </w:pPr>
      <w:r>
        <w:rPr>
          <w:sz w:val="28"/>
          <w:rFonts w:ascii="Times New Roman" w:hAnsi="Times New Roman"/>
        </w:rPr>
        <w:t xml:space="preserve">O‘zbekiston Respublikasi Oila Kodeksning 49-moddasiga asosan, nikoh quyidagi hollarda haqiqiy emas deb topiladi, yani nikoh tuzish ixtiyoriy bo‘lmasa va nikoh yoshi to‘g‘ri kelmasa, soxta nikoh tuzilganda, ya’ni er-xotin yoki ulardan biri oila qurish maqsadini ko‘zlamay nikoh qayd qildirganda, nikohlanuvchi shaxslardan biri tanosil kasalligi yoki odamning immunitet tanqisligi virusi (OIV kasalligi) borligini ikkinchisidan yashirganda, agar ikkinchisi sudga shunday talab bilan murojaat etsa.</w:t>
      </w:r>
    </w:p>
    <w:p>
      <w:pPr>
        <w:jc w:val="both"/>
        <w:ind w:firstLine="425"/>
        <w:spacing w:after="0" w:line="288" w:lineRule="auto"/>
        <w:rPr>
          <w:sz w:val="28"/>
          <w:rFonts w:ascii="Times New Roman" w:hAnsi="Times New Roman"/>
        </w:rPr>
      </w:pPr>
      <w:r>
        <w:rPr>
          <w:sz w:val="28"/>
          <w:rFonts w:ascii="Times New Roman" w:hAnsi="Times New Roman"/>
        </w:rPr>
        <w:t xml:space="preserve">O‘zbekiston Respublikasi Oliy sudi Plenumining 2011 yil 20 iyuldagi 6-sonli “Sudlar tomonidan nikohdan ajratishga oid ishlar bo‘yicha qonunchilikni qo‘llash amaliyoti to‘g‘risida”gi qarorining 34-bandi uchinchi xatboshisiga binoan, soxta nikoh tuzilishi, ya’ni er-xotin yoki ulardan biri oila qurish maqsadini ko‘zlamay nikoh qayd qildirsa nikohni haqiqiy emas deb topish asoslari qat’iy bo‘lib, ularni kengaytirib talqin etishga yo‘l qo‘yilmaydi.</w:t>
      </w:r>
    </w:p>
    <w:p>
      <w:pPr>
        <w:jc w:val="both"/>
        <w:ind w:firstLine="425"/>
        <w:spacing w:after="0" w:line="288" w:lineRule="auto"/>
        <w:rPr>
          <w:sz w:val="28"/>
          <w:rFonts w:ascii="Times New Roman" w:hAnsi="Times New Roman"/>
        </w:rPr>
      </w:pPr>
      <w:r>
        <w:rPr>
          <w:sz w:val="28"/>
          <w:rFonts w:ascii="Times New Roman" w:hAnsi="Times New Roman"/>
        </w:rPr>
        <w:t xml:space="preserve">Shu sababli nikoh tuzilganligi qilinganligini haqiqiy emas deb topish lozim bo‘ladi.</w:t>
      </w:r>
    </w:p>
    <w:p>
      <w:pPr>
        <w:jc w:val="both"/>
        <w:ind w:firstLine="425"/>
        <w:spacing w:after="0" w:line="288" w:lineRule="auto"/>
        <w:rPr>
          <w:sz w:val="28"/>
          <w:rFonts w:ascii="Times New Roman" w:hAnsi="Times New Roman"/>
        </w:rPr>
      </w:pPr>
      <w:r>
        <w:rPr>
          <w:sz w:val="28"/>
          <w:rFonts w:ascii="Times New Roman" w:hAnsi="Times New Roman"/>
        </w:rPr>
        <w:t xml:space="preserve">Yuqoridagilarga asosan hamda O‘zbekiston Respublikasi Oila kodeksining, 54-moddalariga, O‘zbekiston Respublikasi Fuqarolik protsessual kodeksining 188, 189-191-moddalariga asosan, suddan</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SO‘RAYMAN:</w:t>
      </w:r>
    </w:p>
    <w:p>
      <w:pPr>
        <w:jc w:val="both"/>
        <w:ind w:firstLine="425"/>
        <w:spacing w:after="0" w:line="288" w:lineRule="auto"/>
        <w:rPr>
          <w:sz w:val="28"/>
          <w:rFonts w:ascii="Times New Roman" w:hAnsi="Times New Roman"/>
        </w:rPr>
      </w:pPr>
      <w:r>
        <w:rPr>
          <w:sz w:val="28"/>
          <w:rFonts w:ascii="Times New Roman" w:hAnsi="Times New Roman"/>
        </w:rPr>
        <w:t xml:space="preserve">Javobgarlar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 va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lar bilan tuzilgan nikohni haqiqiy emas deb topishni</w:t>
      </w:r>
    </w:p>
    <w:p>
      <w:pPr>
        <w:jc w:val="both"/>
        <w:ind w:firstLine="425"/>
        <w:spacing w:after="0" w:line="288" w:lineRule="auto"/>
        <w:rPr>
          <w:sz w:val="28"/>
          <w:rFonts w:ascii="Times New Roman" w:hAnsi="Times New Roman"/>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jc w:val="both"/>
              <w:spacing w:line="288" w:lineRule="auto"/>
              <w:rPr>
                <w:sz w:val="28"/>
                <w:rFonts w:ascii="Times New Roman" w:hAnsi="Times New Roman"/>
              </w:rPr>
            </w:pP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Da’vogarning F.I.O.si</w:t>
              <w:fldChar w:fldCharType="end"/>
            </w:r>
          </w:p>
          <w:p>
            <w:pPr>
              <w:jc w:val="both"/>
              <w:spacing w:line="288" w:lineRule="auto"/>
              <w:rPr>
                <w:sz w:val="28"/>
                <w:rFonts w:ascii="Times New Roman" w:hAnsi="Times New Roman"/>
              </w:rPr>
            </w:pPr>
          </w:p>
        </w:tc>
        <w:tc>
          <w:tcPr>
            <w:tcW w:w="3115" w:type="dxa"/>
          </w:tcPr>
          <w:p>
            <w:pPr>
              <w:jc w:val="both"/>
              <w:spacing w:line="288" w:lineRule="auto"/>
              <w:rPr>
                <w:sz w:val="28"/>
                <w:rFonts w:ascii="Times New Roman" w:hAnsi="Times New Roman"/>
              </w:rPr>
            </w:pPr>
          </w:p>
        </w:tc>
        <w:tc>
          <w:tcPr>
            <w:tcW w:w="3115" w:type="dxa"/>
          </w:tcPr>
          <w:p>
            <w:pPr>
              <w:jc w:val="both"/>
              <w:spacing w:line="288" w:lineRule="auto"/>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yozilgan sana</w:t>
              <w:fldChar w:fldCharType="end"/>
            </w:r>
          </w:p>
        </w:tc>
      </w:tr>
    </w:tbl>
    <w:p>
      <w:pPr>
        <w:jc w:val="both"/>
        <w:ind w:firstLine="425"/>
        <w:spacing w:after="0" w:line="288" w:lineRule="auto"/>
        <w:rPr>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69A"/>
    <w:rsid w:val="00012217"/>
    <w:rsid w:val="000833D1"/>
    <w:rsid w:val="00135CF0"/>
    <w:rsid w:val="001A169A"/>
    <w:rsid w:val="002B6699"/>
    <w:rsid w:val="002C21D2"/>
    <w:rsid w:val="00373F6A"/>
    <w:rsid w:val="003B649A"/>
    <w:rsid w:val="00432DE6"/>
    <w:rsid w:val="004E062C"/>
    <w:rsid w:val="0058727B"/>
    <w:rsid w:val="00607E64"/>
    <w:rsid w:val="006E3BE5"/>
    <w:rsid w:val="00744F98"/>
    <w:rsid w:val="007E61BD"/>
    <w:rsid w:val="007F72BF"/>
    <w:rsid w:val="0088153C"/>
    <w:rsid w:val="00B553EA"/>
    <w:rsid w:val="00BF046B"/>
    <w:rsid w:val="00C43546"/>
    <w:rsid w:val="00D4797F"/>
    <w:rsid w:val="00D710D1"/>
    <w:rsid w:val="00DA01CE"/>
    <w:rsid w:val="00EA29C4"/>
    <w:rsid w:val="00F862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411A30-0AF8-41EC-ACBC-C8BA4A8C6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44F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basedOn w:val="a0"/>
    <w:rsid w:val="00135CF0"/>
  </w:style>
  <w:style w:type="character" w:customStyle="1" w:styleId="clausesuff">
    <w:name w:val="clausesuff"/>
    <w:basedOn w:val="a0"/>
    <w:rsid w:val="00135CF0"/>
  </w:style>
  <w:style w:type="character" w:styleId="a4">
    <w:name w:val="Hyperlink"/>
    <w:basedOn w:val="a0"/>
    <w:uiPriority w:val="99"/>
    <w:semiHidden/>
    <w:unhideWhenUsed/>
    <w:rsid w:val="00135C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4112038">
      <w:bodyDiv w:val="1"/>
      <w:marLeft w:val="0"/>
      <w:marRight w:val="0"/>
      <w:marTop w:val="0"/>
      <w:marBottom w:val="0"/>
      <w:divBdr>
        <w:top w:val="none" w:sz="0" w:space="0" w:color="auto"/>
        <w:left w:val="none" w:sz="0" w:space="0" w:color="auto"/>
        <w:bottom w:val="none" w:sz="0" w:space="0" w:color="auto"/>
        <w:right w:val="none" w:sz="0" w:space="0" w:color="auto"/>
      </w:divBdr>
      <w:divsChild>
        <w:div w:id="1508248171">
          <w:marLeft w:val="0"/>
          <w:marRight w:val="0"/>
          <w:marTop w:val="120"/>
          <w:marBottom w:val="120"/>
          <w:divBdr>
            <w:top w:val="none" w:sz="0" w:space="0" w:color="auto"/>
            <w:left w:val="none" w:sz="0" w:space="0" w:color="auto"/>
            <w:bottom w:val="none" w:sz="0" w:space="0" w:color="auto"/>
            <w:right w:val="none" w:sz="0" w:space="0" w:color="auto"/>
          </w:divBdr>
        </w:div>
        <w:div w:id="1016928194">
          <w:marLeft w:val="0"/>
          <w:marRight w:val="0"/>
          <w:marTop w:val="0"/>
          <w:marBottom w:val="150"/>
          <w:divBdr>
            <w:top w:val="none" w:sz="0" w:space="0" w:color="auto"/>
            <w:left w:val="none" w:sz="0" w:space="0" w:color="auto"/>
            <w:bottom w:val="none" w:sz="0" w:space="0" w:color="auto"/>
            <w:right w:val="none" w:sz="0" w:space="0" w:color="auto"/>
          </w:divBdr>
        </w:div>
        <w:div w:id="165482980">
          <w:marLeft w:val="0"/>
          <w:marRight w:val="0"/>
          <w:marTop w:val="0"/>
          <w:marBottom w:val="150"/>
          <w:divBdr>
            <w:top w:val="none" w:sz="0" w:space="0" w:color="auto"/>
            <w:left w:val="none" w:sz="0" w:space="0" w:color="auto"/>
            <w:bottom w:val="none" w:sz="0" w:space="0" w:color="auto"/>
            <w:right w:val="none" w:sz="0" w:space="0" w:color="auto"/>
          </w:divBdr>
        </w:div>
        <w:div w:id="1568682960">
          <w:marLeft w:val="0"/>
          <w:marRight w:val="0"/>
          <w:marTop w:val="0"/>
          <w:marBottom w:val="150"/>
          <w:divBdr>
            <w:top w:val="none" w:sz="0" w:space="0" w:color="auto"/>
            <w:left w:val="none" w:sz="0" w:space="0" w:color="auto"/>
            <w:bottom w:val="none" w:sz="0" w:space="0" w:color="auto"/>
            <w:right w:val="none" w:sz="0" w:space="0" w:color="auto"/>
          </w:divBdr>
        </w:div>
        <w:div w:id="145578251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561</Words>
  <Characters>3200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2024-02-26T09:07:00Z</dcterms:created>
  <dcterms:modified xsi:type="dcterms:W3CDTF">2024-02-26T09:07:00Z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Da’vo ariza rekvizitlari</w:name>
    <w:value w:hidden="true">
      <w:unit w:active="false"/>
    </w:value>
  </w:element>
  <w:element w:id="2" w:kind="variable" w:selector="check" w:type="string" w:valueMode="normal" w:required="false" w:groupID="1">
    <w:identifier xml:space="preserve">ID2</w:identifier>
    <w:name xml:space="preserve">Da’vo-ariza berilgan fuqarolik ishlari bo‘yicha sud nomi</w:name>
    <w:value w:hidden="false">
      <w:unit w:active="false"/>
    </w:value>
  </w:element>
  <w:element w:id="3" w:kind="variable" w:selector="check" w:type="string" w:valueMode="normal" w:required="false" w:groupID="1">
    <w:identifier xml:space="preserve">ID3</w:identifier>
    <w:name xml:space="preserve">Ariza yozilgan sana</w:name>
    <w:value w:hidden="false">
      <w:unit w:active="false"/>
    </w:value>
  </w:element>
  <w:element w:id="4" w:kind="category" w:selector="check" w:type="string" w:valueMode="normal" w:required="false">
    <w:identifier xml:space="preserve">ID4</w:identifier>
    <w:name xml:space="preserve">Da’vogar to‘g‘risida ma’lumotlar</w:name>
    <w:value w:hidden="true">
      <w:unit w:active="false"/>
    </w:value>
  </w:element>
  <w:element w:id="5" w:kind="variable" w:selector="check" w:type="string" w:valueMode="normal" w:required="false" w:groupID="4">
    <w:identifier xml:space="preserve">ID5</w:identifier>
    <w:name xml:space="preserve">Da’vogarning F.I.O.si</w:name>
    <w:value w:hidden="false">
      <w:unit w:active="false"/>
    </w:value>
  </w:element>
  <w:element w:id="6" w:kind="variable" w:selector="check" w:type="string" w:valueMode="normal" w:required="false" w:groupID="4">
    <w:identifier xml:space="preserve">ID6</w:identifier>
    <w:name xml:space="preserve">Da’vo ariza bergan prokuratura joylashgan manzili</w:name>
    <w:value w:hidden="false">
      <w:unit w:active="false"/>
    </w:value>
  </w:element>
  <w:element w:id="7" w:kind="variable" w:selector="check" w:type="string" w:valueMode="normal" w:required="false" w:groupID="4">
    <w:identifier xml:space="preserve">ID7</w:identifier>
    <w:name xml:space="preserve">Da’vogarning telefon raqamlari</w:name>
    <w:value w:hidden="false">
      <w:unit w:active="false"/>
    </w:value>
  </w:element>
  <w:element w:id="8" w:kind="variable" w:selector="check" w:type="string" w:valueMode="normal" w:required="false" w:groupID="4">
    <w:identifier xml:space="preserve">ID8</w:identifier>
    <w:name xml:space="preserve">Da’vogarning pochta (elektron) manzili</w:name>
    <w:value w:hidden="false">
      <w:unit w:active="false"/>
    </w:value>
  </w:element>
  <w:element w:id="9" w:kind="category" w:selector="check" w:type="string" w:valueMode="normal" w:required="false">
    <w:identifier xml:space="preserve">ID9</w:identifier>
    <w:name xml:space="preserve">Birinchi javobgar to‘g‘risida ma’lumotlar</w:name>
    <w:value w:hidden="true">
      <w:unit w:active="false"/>
    </w:value>
  </w:element>
  <w:element w:id="10" w:kind="variable" w:selector="check" w:type="string" w:valueMode="normal" w:required="false" w:groupID="9">
    <w:identifier xml:space="preserve">ID10</w:identifier>
    <w:name xml:space="preserve">Javobgarning F.I.O.si</w:name>
    <w:value w:hidden="false">
      <w:unit w:active="false"/>
    </w:value>
  </w:element>
  <w:element w:id="11" w:kind="variable" w:selector="check" w:type="string" w:valueMode="normal" w:required="false" w:groupID="9">
    <w:identifier xml:space="preserve">ID11</w:identifier>
    <w:name xml:space="preserve">Javobgarning yashash manzili</w:name>
    <w:value w:hidden="false">
      <w:unit w:active="false"/>
    </w:value>
  </w:element>
  <w:element w:id="12" w:kind="variable" w:selector="check" w:type="string" w:valueMode="normal" w:required="false" w:groupID="9">
    <w:identifier xml:space="preserve">ID12</w:identifier>
    <w:name xml:space="preserve">Javobgarning telefon raqamlari</w:name>
    <w:value w:hidden="false">
      <w:unit w:active="false"/>
    </w:value>
  </w:element>
  <w:element w:id="13" w:kind="variable" w:selector="check" w:type="string" w:valueMode="normal" w:required="false" w:groupID="9">
    <w:identifier xml:space="preserve">ID13</w:identifier>
    <w:name xml:space="preserve">Javobgarning pochta (elektron) manzili</w:name>
    <w:value w:hidden="false">
      <w:unit w:active="false"/>
    </w:value>
  </w:element>
  <w:element w:id="14" w:kind="category" w:selector="check" w:type="string" w:valueMode="normal" w:required="false">
    <w:identifier xml:space="preserve">ID14</w:identifier>
    <w:name xml:space="preserve">Ikkinchi javobgar to‘g‘risida ma’lumotlar</w:name>
    <w:value w:hidden="true">
      <w:unit w:active="false"/>
    </w:value>
  </w:element>
  <w:element w:id="15" w:kind="variable" w:selector="check" w:type="string" w:valueMode="normal" w:required="false" w:groupID="14">
    <w:identifier xml:space="preserve">ID15</w:identifier>
    <w:name xml:space="preserve">Javobgarning F.I.O.si</w:name>
    <w:value w:hidden="false">
      <w:unit w:active="false"/>
    </w:value>
  </w:element>
  <w:element w:id="16" w:kind="variable" w:selector="check" w:type="string" w:valueMode="normal" w:required="false" w:groupID="14">
    <w:identifier xml:space="preserve">ID16</w:identifier>
    <w:name xml:space="preserve">Javobgarning yashash manzili</w:name>
    <w:value w:hidden="false">
      <w:unit w:active="false"/>
    </w:value>
  </w:element>
  <w:element w:id="17" w:kind="variable" w:selector="check" w:type="string" w:valueMode="normal" w:required="false" w:groupID="14">
    <w:identifier xml:space="preserve">ID17</w:identifier>
    <w:name xml:space="preserve">Javobgarning telefon raqamlari</w:name>
    <w:value w:hidden="false">
      <w:unit w:active="false"/>
    </w:value>
  </w:element>
  <w:element w:id="18" w:kind="variable" w:selector="check" w:type="string" w:valueMode="normal" w:required="false" w:groupID="14">
    <w:identifier xml:space="preserve">ID18</w:identifier>
    <w:name xml:space="preserve">Javobgarning pochta (elektron) manzili</w:name>
    <w:value w:hidden="false">
      <w:unit w:active="false"/>
    </w:value>
  </w:element>
  <w:element w:id="19" w:kind="category" w:selector="check" w:type="string" w:valueMode="normal" w:required="false">
    <w:identifier xml:space="preserve">ID19</w:identifier>
    <w:name xml:space="preserve">Da’vo ariza mazmuni</w:name>
    <w:value w:hidden="true">
      <w:unit w:active="false"/>
    </w:value>
  </w:element>
  <w:element w:id="20" w:kind="variable" w:selector="check" w:type="string" w:valueMode="normal" w:required="false" w:groupID="19">
    <w:identifier xml:space="preserve">ID20</w:identifier>
    <w:name xml:space="preserve">Javogarlarni qayd etgan tuman (shahar) FHDYo bo‘limi</w:name>
    <w:value w:hidden="false">
      <w:unit w:active="false"/>
    </w:value>
  </w:element>
  <w:element w:id="21" w:kind="variable" w:selector="check" w:type="string" w:valueMode="normal" w:required="false" w:groupID="19">
    <w:identifier xml:space="preserve">ID21</w:identifier>
    <w:name xml:space="preserve">FHDYo bo‘limida nikoh qayd etilgan raqam</w:name>
    <w:value w:hidden="false">
      <w:unit w:active="false"/>
    </w:value>
  </w:element>
  <w:element w:id="22" w:kind="variable" w:selector="check" w:type="string" w:valueMode="normal" w:required="false" w:groupID="19">
    <w:identifier xml:space="preserve">ID22</w:identifier>
    <w:name xml:space="preserve">Nikoh tuzishning asl sabablari</w:name>
    <w:value w:hidden="false">
      <w:unit w:active="false"/>
    </w:value>
  </w:element>
  <w:element w:id="23" w:kind="variable" w:selector="check" w:type="string" w:valueMode="normal" w:required="false" w:groupID="19">
    <w:identifier xml:space="preserve">ID23</w:identifier>
    <w:name xml:space="preserve">Soxta nikoh orqali noqonuniy amalga oshirgan ishlar</w:name>
    <w:value w:hidden="false">
      <w:unit w:active="false"/>
    </w:value>
  </w:element>
</w:structure>
</file>