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40"/>
        <w:gridCol w:w="4814"/>
      </w:tblGrid>
      <w:tr>
        <w:tc>
          <w:tcPr>
            <w:tcW w:w="4691"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sz w:val="28"/>
                <w:rFonts w:ascii="Times New Roman" w:hAnsi="Times New Roman"/>
              </w:rPr>
              <w:t xml:space="preserve">Fuqarolik ishlari bo‘yicha </w:t>
              <w:br/>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Arizachi: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Arizachining manzili</w:t>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Arizachi shaxsning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Arizachi tarafning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Arizachi tarafning elektron manzili</w:t>
              <w:fldChar w:fldCharType="end"/>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Javobgar:</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Javobgarning elektron manzili</w:t>
              <w:fldChar w:fldCharType="end"/>
            </w:r>
          </w:p>
          <w:p>
            <w:pPr>
              <w:jc w:val="both"/>
              <w:spacing w:after="0"/>
              <w:rPr>
                <w:sz w:val="28"/>
                <w:rFonts w:ascii="Times New Roman" w:hAnsi="Times New Roman"/>
              </w:rPr>
            </w:pPr>
            <w:r>
              <w:rPr>
                <w:b/>
                <w:sz w:val="28"/>
                <w:rFonts w:ascii="Times New Roman" w:hAnsi="Times New Roman"/>
              </w:rPr>
              <w:t xml:space="preserve">Ariza mazmuni:</w:t>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dan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Javobgarga berilgan qarz miqdori ( raqam va so‘z bilan ko‘rsatilishi lozim)</w:t>
              <w:fldChar w:fldCharType="end"/>
            </w:r>
            <w:r>
              <w:rPr>
                <w:sz w:val="28"/>
                <w:rFonts w:ascii="Times New Roman" w:hAnsi="Times New Roman"/>
              </w:rPr>
              <w:t xml:space="preserve"> so‘m miqdoridagi notarial tartibda rasmiylashtirilgan qarzdorlikni undirish to‘g‘risida</w:t>
            </w:r>
          </w:p>
        </w:tc>
      </w:tr>
    </w:tbl>
    <w:p>
      <w:pPr>
        <w:spacing w:after="0"/>
        <w:rPr>
          <w:color w:val="000000"/>
          <w:sz w:val="28"/>
          <w:rFonts w:ascii="Times New Roman" w:hAnsi="Times New Roman"/>
        </w:rPr>
      </w:pPr>
    </w:p>
    <w:p>
      <w:pPr>
        <w:jc w:val="center"/>
        <w:spacing w:after="0"/>
        <w:rPr>
          <w:sz w:val="28"/>
          <w:rFonts w:ascii="Times New Roman" w:hAnsi="Times New Roman"/>
        </w:rPr>
      </w:pPr>
      <w:r>
        <w:rPr>
          <w:sz w:val="28"/>
          <w:rFonts w:ascii="Times New Roman" w:hAnsi="Times New Roman"/>
        </w:rPr>
        <w:t>ARIZA</w:t>
      </w:r>
    </w:p>
    <w:p>
      <w:pPr>
        <w:jc w:val="center"/>
        <w:ind w:firstLine="540"/>
        <w:spacing w:after="0"/>
        <w:rPr>
          <w:i/>
          <w:sz w:val="28"/>
          <w:rFonts w:ascii="Times New Roman" w:hAnsi="Times New Roman"/>
        </w:rPr>
      </w:pPr>
      <w:r>
        <w:rPr>
          <w:i/>
          <w:sz w:val="28"/>
          <w:rFonts w:ascii="Times New Roman" w:hAnsi="Times New Roman"/>
        </w:rPr>
        <w:t xml:space="preserve">(Notarial tartibda rasmiylashtirilgan qarzdorlikni undirish t to‘g‘risida)</w:t>
      </w:r>
    </w:p>
    <w:p>
      <w:pPr>
        <w:jc w:val="both"/>
        <w:ind w:firstLine="540"/>
        <w:spacing w:after="0"/>
        <w:rPr>
          <w:sz w:val="28"/>
          <w:rFonts w:ascii="Times New Roman" w:hAnsi="Times New Roman"/>
        </w:rPr>
      </w:pPr>
    </w:p>
    <w:p>
      <w:pPr>
        <w:jc w:val="both"/>
        <w:ind w:firstLine="425"/>
        <w:spacing w:after="0"/>
        <w:rPr>
          <w:sz w:val="28"/>
          <w:rFonts w:ascii="Times New Roman" w:hAnsi="Times New Roman"/>
        </w:rPr>
      </w:pPr>
      <w:r>
        <w:rPr>
          <w:sz w:val="28"/>
          <w:rFonts w:ascii="Times New Roman" w:hAnsi="Times New Roman"/>
        </w:rPr>
        <w:t xml:space="preserve">Ish bo‘yicha javobgar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mening oldimga kelib qarz so‘radi. Shundan so‘ng men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Javobgarga qarz berilgan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Qarz shartnomasini rasmiylashtirgan notarial idora nomi</w:t>
        <w:fldChar w:fldCharType="end"/>
      </w:r>
      <w:r>
        <w:rPr>
          <w:sz w:val="28"/>
          <w:rFonts w:ascii="Times New Roman" w:hAnsi="Times New Roman"/>
        </w:rPr>
        <w:t xml:space="preserve"> notarial idorasi tomonidan tasdiqlangan qarz shartnomasiga asosan javobgarga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Javobgarga berilgan qarz miqdori ( raqam va so‘z bilan ko‘rsatilishi lozim)</w:t>
        <w:fldChar w:fldCharType="end"/>
      </w:r>
      <w:r>
        <w:rPr>
          <w:sz w:val="28"/>
          <w:rFonts w:ascii="Times New Roman" w:hAnsi="Times New Roman"/>
        </w:rPr>
        <w:t xml:space="preserve"> so‘m miqdorida qarz berdim. </w:t>
      </w:r>
    </w:p>
    <w:p>
      <w:pPr>
        <w:jc w:val="both"/>
        <w:ind w:firstLine="425"/>
        <w:spacing w:after="0"/>
        <w:rPr>
          <w:sz w:val="28"/>
          <w:rFonts w:ascii="Times New Roman" w:hAnsi="Times New Roman"/>
        </w:rPr>
      </w:pPr>
      <w:r>
        <w:rPr>
          <w:sz w:val="28"/>
          <w:rFonts w:ascii="Times New Roman" w:hAnsi="Times New Roman"/>
        </w:rPr>
        <w:t xml:space="preserve">Javobgar mendan olgan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Javobgarga berilgan qarz miqdori ( raqam va so‘z bilan ko‘rsatilishi lozim)</w:t>
        <w:fldChar w:fldCharType="end"/>
      </w:r>
      <w:r>
        <w:rPr>
          <w:sz w:val="28"/>
          <w:rFonts w:ascii="Times New Roman" w:hAnsi="Times New Roman"/>
        </w:rPr>
        <w:t xml:space="preserve"> so‘m qarzini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Javobgar qarzni qaytarishi lozim bo‘lgan sana</w:t>
        <w:fldChar w:fldCharType="end"/>
      </w:r>
      <w:r>
        <w:rPr>
          <w:sz w:val="28"/>
          <w:rFonts w:ascii="Times New Roman" w:hAnsi="Times New Roman"/>
        </w:rPr>
        <w:t xml:space="preserve"> kuniga qadar qaytarishi lozim lozim edi, shunday bo‘lsada javobgar qarzini qaytarmasdan kelayapti. Shu kunga qadar javobgarga bir necha bor qarzni qaytarishni so‘rab murojaat qildim, lekin javobgar turli xil bahonalar bilan qarzni qaytarmasdan kelmoqda. </w:t>
      </w:r>
    </w:p>
    <w:p>
      <w:pPr>
        <w:jc w:val="both"/>
        <w:ind w:firstLine="425"/>
        <w:spacing w:after="0"/>
        <w:rPr>
          <w:sz w:val="28"/>
          <w:rFonts w:ascii="Times New Roman" w:hAnsi="Times New Roman"/>
        </w:rPr>
      </w:pPr>
      <w:r>
        <w:rPr>
          <w:sz w:val="28"/>
          <w:rFonts w:ascii="Times New Roman" w:hAnsi="Times New Roman"/>
        </w:rPr>
        <w:t xml:space="preserve">O‘zbekiston Respublikasining Fuqarolik kodeksi 324-moddasiga ko‘ra, qarzdor majburiyatni bajarmaganligi yoki lozim darajada bajarmaganligi tufayli kreditorga yetkazilgan zararni to‘lashi shart.</w:t>
      </w:r>
    </w:p>
    <w:p>
      <w:pPr>
        <w:jc w:val="both"/>
        <w:ind w:firstLine="425"/>
        <w:spacing w:after="0"/>
        <w:rPr>
          <w:sz w:val="28"/>
          <w:rFonts w:ascii="Times New Roman" w:hAnsi="Times New Roman"/>
        </w:rPr>
      </w:pPr>
      <w:r>
        <w:rPr>
          <w:sz w:val="28"/>
          <w:rFonts w:ascii="Times New Roman" w:hAnsi="Times New Roman"/>
        </w:rPr>
        <w:t xml:space="preserve">Agar qonunchilikda yoki shartnomada o‘zgacha tartib nazarda tutilgan bo‘lmasa, zararni aniqlashda majburiyat bajarilishi kerak bo‘lgan joyda, qarzdor kreditorning talablarini ixtiyoriy qanoatlantirgan kunda, bordi-yu, talab ixtiyoriy qanoatlantirilgan bo‘lmasa, — da’vo qo‘zg‘atilgan kunda mavjud bo‘lgan narxlar e’tiborga olinadi. Sud vaziyatga qarab, zararni to‘lash haqidagi talabni qaror chiqarilgan kunda mavjud bo‘lgan narxlarni e’tiborga olgan holda qanoatlantirishi mumkin.</w:t>
      </w:r>
    </w:p>
    <w:p>
      <w:pPr>
        <w:jc w:val="both"/>
        <w:ind w:firstLine="425"/>
        <w:spacing w:after="0"/>
        <w:rPr>
          <w:sz w:val="28"/>
          <w:rFonts w:ascii="Times New Roman" w:hAnsi="Times New Roman"/>
        </w:rPr>
      </w:pPr>
      <w:r>
        <w:rPr>
          <w:sz w:val="28"/>
          <w:rFonts w:ascii="Times New Roman" w:hAnsi="Times New Roman"/>
        </w:rPr>
        <w:t xml:space="preserve">Fuqarolik kodeksi 734-moddasida, agar qonunda yoki qarz shartnomasida boshqacha tartib nazarda tutilgan bo‘lmasa, qarz beruvchi (yuridik shaxs yoki fuqaro) qarz oluvchidan qarz summasiga shartnomada belgilangan miqdorda va tartibda foizlar olish huquqiga ega bo‘ladi.</w:t>
      </w:r>
    </w:p>
    <w:p>
      <w:pPr>
        <w:jc w:val="both"/>
        <w:ind w:firstLine="425"/>
        <w:spacing w:after="0"/>
        <w:rPr>
          <w:sz w:val="28"/>
          <w:rFonts w:ascii="Times New Roman" w:hAnsi="Times New Roman"/>
        </w:rPr>
      </w:pPr>
      <w:r>
        <w:rPr>
          <w:sz w:val="28"/>
          <w:rFonts w:ascii="Times New Roman" w:hAnsi="Times New Roman"/>
        </w:rPr>
        <w:t xml:space="preserve">Agar qarz shartnomasi bo‘yicha qarz oluvchiga turga xos alomatlari bilan belgilangan ashyolar topshirilsa, ularning miqdori va shakli (pul yoki natura holidagi) shartnomada ko‘zda tutilgan hollarda foizlar to‘lanishi kerak.</w:t>
      </w:r>
    </w:p>
    <w:p>
      <w:pPr>
        <w:jc w:val="both"/>
        <w:ind w:firstLine="425"/>
        <w:spacing w:after="0"/>
        <w:rPr>
          <w:sz w:val="28"/>
          <w:rFonts w:ascii="Times New Roman" w:hAnsi="Times New Roman"/>
        </w:rPr>
      </w:pPr>
      <w:r>
        <w:rPr>
          <w:sz w:val="28"/>
          <w:rFonts w:ascii="Times New Roman" w:hAnsi="Times New Roman"/>
        </w:rPr>
        <w:t xml:space="preserve">Foizlar to‘lash tartibi va muddatlari qarz shartnomasi bilan belgilanadi. Agar foizlar to‘lash tartibi va muddatlari shartnomada belgilangan bo‘lmasa, ular asosiy qarzni qaytarish uchun shartnomada nazarda tutilgan tartibda va muddatlarda to‘lanadi.</w:t>
      </w:r>
    </w:p>
    <w:p>
      <w:pPr>
        <w:jc w:val="both"/>
        <w:ind w:firstLine="425"/>
        <w:spacing w:after="0"/>
        <w:rPr>
          <w:sz w:val="28"/>
          <w:rFonts w:ascii="Times New Roman" w:hAnsi="Times New Roman"/>
        </w:rPr>
      </w:pPr>
      <w:r>
        <w:rPr>
          <w:sz w:val="28"/>
          <w:rFonts w:ascii="Times New Roman" w:hAnsi="Times New Roman"/>
        </w:rPr>
        <w:t xml:space="preserve">Fuqarolik kodeksining 735-moddasida esa qarz oluvchi olingan qarz summasini qarz shartnomasida nazarda tutilgan muddatda va tartibda qarz beruvchiga qaytarishi shart.</w:t>
      </w:r>
    </w:p>
    <w:p>
      <w:pPr>
        <w:jc w:val="both"/>
        <w:ind w:firstLine="425"/>
        <w:spacing w:after="0"/>
        <w:rPr>
          <w:sz w:val="28"/>
          <w:rFonts w:ascii="Times New Roman" w:hAnsi="Times New Roman"/>
        </w:rPr>
      </w:pPr>
      <w:r>
        <w:rPr>
          <w:sz w:val="28"/>
          <w:rFonts w:ascii="Times New Roman" w:hAnsi="Times New Roman"/>
        </w:rPr>
        <w:t xml:space="preserve">Yuqoridagilardan kelib chiqqan holda ushbu davrda javobgar qarzni qaytarmaganligi sababli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Javobgar qarzni qaytarmaganligi sababli u to‘lashi so‘ralayotgan ustama (bank foizi) summasi</w:t>
        <w:fldChar w:fldCharType="end"/>
      </w:r>
      <w:r>
        <w:rPr>
          <w:sz w:val="28"/>
          <w:rFonts w:ascii="Times New Roman" w:hAnsi="Times New Roman"/>
        </w:rPr>
        <w:t xml:space="preserve"> so‘m miqdorida bank foizi ham undirish lozim deb hisoblayman. </w:t>
      </w:r>
    </w:p>
    <w:p>
      <w:pPr>
        <w:jc w:val="both"/>
        <w:ind w:firstLine="425"/>
        <w:spacing w:after="0"/>
        <w:rPr>
          <w:sz w:val="28"/>
          <w:rFonts w:ascii="Times New Roman" w:hAnsi="Times New Roman"/>
        </w:rPr>
      </w:pPr>
      <w:r>
        <w:rPr>
          <w:color w:val="000000"/>
          <w:sz w:val="28"/>
          <w:rFonts w:ascii="Times New Roman" w:hAnsi="Times New Roman"/>
        </w:rPr>
        <w:t xml:space="preserve">Yuqoridagilardan kelib chiqib, O‘zbekiston Respublikasi Fuqarolik kodeksining</w:t>
      </w:r>
      <w:r>
        <w:rPr>
          <w:sz w:val="28"/>
          <w:rFonts w:ascii="Times New Roman" w:hAnsi="Times New Roman"/>
        </w:rPr>
        <w:t xml:space="preserve"> 324, 734-735 moddalariga asosan suddan,</w:t>
      </w:r>
    </w:p>
    <w:p>
      <w:pPr>
        <w:jc w:val="both"/>
        <w:ind w:firstLine="425"/>
        <w:spacing w:after="0"/>
        <w:rPr>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426"/>
        <w:spacing w:after="0"/>
        <w:rPr>
          <w:color w:val="000000"/>
          <w:sz w:val="28"/>
          <w:rFonts w:ascii="Times New Roman" w:hAnsi="Times New Roman"/>
        </w:rPr>
      </w:pP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dan mening foydamga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Javobgarga berilgan qarz miqdori ( raqam va so‘z bilan ko‘rsatilishi lozim)</w:t>
        <w:fldChar w:fldCharType="end"/>
      </w:r>
      <w:r>
        <w:rPr>
          <w:sz w:val="28"/>
          <w:rFonts w:ascii="Times New Roman" w:hAnsi="Times New Roman"/>
        </w:rPr>
        <w:t xml:space="preserve"> so‘m asosiy qarz hamda qarzni o‘z vaqtida qaytarmaganligi sababli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Javobgar qarzni qaytarmaganligi sababli u to‘lashi so‘ralayotgan ustama (bank foizi) summasi</w:t>
        <w:fldChar w:fldCharType="end"/>
      </w:r>
      <w:r>
        <w:rPr>
          <w:sz w:val="28"/>
          <w:rFonts w:ascii="Times New Roman" w:hAnsi="Times New Roman"/>
        </w:rPr>
        <w:t xml:space="preserve"> so‘m miqdorida bank foizi undirib berishingizni.</w:t>
      </w:r>
    </w:p>
    <w:p>
      <w:pPr>
        <w:jc w:val="both"/>
        <w:spacing w:after="0"/>
        <w:rPr>
          <w:i/>
          <w:sz w:val="28"/>
          <w:rFonts w:ascii="Times New Roman" w:hAnsi="Times New Roman"/>
        </w:rPr>
      </w:pPr>
      <w:r>
        <w:rPr>
          <w:i/>
          <w:sz w:val="28"/>
          <w:rFonts w:ascii="Times New Roman" w:hAnsi="Times New Roman"/>
        </w:rPr>
        <w:t xml:space="preserve">        </w:t>
      </w:r>
    </w:p>
    <w:p>
      <w:pPr>
        <w:jc w:val="both"/>
        <w:ind w:firstLine="567"/>
        <w:spacing w:after="0"/>
        <w:rPr>
          <w:b/>
          <w:i/>
          <w:sz w:val="28"/>
          <w:rFonts w:ascii="Times New Roman" w:hAnsi="Times New Roman"/>
        </w:rPr>
      </w:pPr>
      <w:r>
        <w:rPr>
          <w:b/>
          <w:i/>
          <w:sz w:val="28"/>
          <w:rFonts w:ascii="Times New Roman" w:hAnsi="Times New Roman"/>
        </w:rPr>
        <w:t xml:space="preserve">Ilova qilingan hujjatlar:</w:t>
      </w:r>
    </w:p>
    <w:p>
      <w:pPr>
        <w:pStyle w:val="ConsPlusNonformat"/>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Ilova qilinayotgan hujjatlar ro‘yxati </w:t>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843"/>
        <w:gridCol w:w="2429"/>
        <w:gridCol w:w="3082"/>
      </w:tblGrid>
      <w:tr>
        <w:tc>
          <w:tcPr>
            <w:tcW w:w="3936" w:type="dxa"/>
          </w:tcPr>
          <w:p>
            <w:pPr>
              <w:jc w:val="both"/>
              <w:spacing w:after="0"/>
              <w:rPr>
                <w:b/>
                <w:sz w:val="28"/>
                <w:rFonts w:ascii="Times New Roman" w:hAnsi="Times New Roman"/>
              </w:rPr>
            </w:pPr>
            <w:r>
              <w:rPr>
                <w:b/>
                <w:sz w:val="28"/>
                <w:rFonts w:ascii="Times New Roman" w:hAnsi="Times New Roman"/>
              </w:rPr>
              <w:t xml:space="preserve">Arizachi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Arizachi shaxsning F.I.O.si</w:t>
              <w:fldChar w:fldCharType="end"/>
            </w:r>
          </w:p>
        </w:tc>
        <w:tc>
          <w:tcPr>
            <w:tcW w:w="2444" w:type="dxa"/>
          </w:tcPr>
          <w:p>
            <w:pPr>
              <w:jc w:val="both"/>
              <w:spacing w:after="0"/>
              <w:rPr>
                <w:b/>
                <w:sz w:val="28"/>
                <w:rFonts w:ascii="Times New Roman" w:hAnsi="Times New Roman"/>
              </w:rPr>
            </w:pPr>
            <w:r>
              <w:rPr>
                <w:b/>
                <w:sz w:val="28"/>
                <w:rFonts w:ascii="Times New Roman" w:hAnsi="Times New Roman"/>
              </w:rPr>
              <w:t>_____________</w:t>
            </w:r>
          </w:p>
        </w:tc>
        <w:tc>
          <w:tcPr>
            <w:tcW w:w="3190" w:type="dxa"/>
          </w:tcPr>
          <w:p>
            <w:pPr>
              <w:jc w:val="both"/>
              <w:spacing w:after="0"/>
              <w:rPr>
                <w:b/>
                <w:sz w:val="28"/>
                <w:rFonts w:ascii="Times New Roman" w:hAnsi="Times New Roman"/>
              </w:rPr>
            </w:pPr>
          </w:p>
        </w:tc>
      </w:tr>
    </w:tbl>
    <w:p>
      <w:pPr>
        <w:jc w:val="right"/>
        <w:ind w:firstLine="708"/>
        <w:spacing w:after="0"/>
        <w:rPr>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r>
        <w:rPr>
          <w:b/>
          <w:sz w:val="28"/>
          <w:rFonts w:ascii="Times New Roman" w:hAnsi="Times New Roman"/>
        </w:rPr>
        <w:t xml:space="preserve">      </w:t>
      </w:r>
      <w:r>
        <w:rPr>
          <w:sz w:val="28"/>
          <w:rFonts w:ascii="Times New Roman" w:hAnsi="Times New Roman"/>
        </w:rPr>
        <w:t xml:space="preserve">     </w:t>
      </w: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50004"/>
    <w:multiLevelType w:val="hybridMultilevel"/>
    <w:tmpl w:val="513CFBE2"/>
    <w:lvl w:ilvl="0" w:tplc="D2800F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0134ADB"/>
    <w:multiLevelType w:val="hybridMultilevel"/>
    <w:tmpl w:val="24C64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B7588F"/>
    <w:multiLevelType w:val="hybridMultilevel"/>
    <w:tmpl w:val="5C7EA33A"/>
    <w:lvl w:ilvl="0" w:tplc="3EF0FC0E">
      <w:start w:val="1"/>
      <w:numFmt w:val="decimal"/>
      <w:lvlText w:val="%1."/>
      <w:lvlJc w:val="left"/>
      <w:pPr>
        <w:ind w:left="1068" w:hanging="360"/>
      </w:pPr>
      <w:rPr>
        <w:rFonts w:ascii="Times New Roman" w:hAnsi="Times New Roman" w:hint="default"/>
        <w:i w:val="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0697977"/>
    <w:multiLevelType w:val="hybridMultilevel"/>
    <w:tmpl w:val="4894B5C2"/>
    <w:lvl w:ilvl="0" w:tplc="50F41798">
      <w:start w:val="1"/>
      <w:numFmt w:val="decimal"/>
      <w:lvlText w:val="%1."/>
      <w:lvlJc w:val="left"/>
      <w:pPr>
        <w:tabs>
          <w:tab w:val="num" w:pos="1068"/>
        </w:tabs>
        <w:ind w:left="1068" w:hanging="360"/>
      </w:pPr>
      <w:rPr>
        <w:rFonts w:ascii="Times New Roman" w:eastAsia="Times New Roman" w:hAnsi="Times New Roman" w:cs="Times New Roman"/>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482F27"/>
    <w:multiLevelType w:val="hybridMultilevel"/>
    <w:tmpl w:val="24C64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EB5284"/>
    <w:multiLevelType w:val="hybridMultilevel"/>
    <w:tmpl w:val="24C640A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63F455B3"/>
    <w:multiLevelType w:val="hybridMultilevel"/>
    <w:tmpl w:val="24C64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5062E20"/>
    <w:multiLevelType w:val="hybridMultilevel"/>
    <w:tmpl w:val="84D677B6"/>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A0748A"/>
    <w:multiLevelType w:val="hybridMultilevel"/>
    <w:tmpl w:val="24C64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8"/>
  </w:num>
  <w:num w:numId="4">
    <w:abstractNumId w:val="0"/>
  </w:num>
  <w:num w:numId="5">
    <w:abstractNumId w:val="7"/>
  </w:num>
  <w:num w:numId="6">
    <w:abstractNumId w:val="5"/>
  </w:num>
  <w:num w:numId="7">
    <w:abstractNumId w:val="1"/>
  </w:num>
  <w:num w:numId="8">
    <w:abstractNumId w:val="9"/>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B02"/>
    <w:rsid w:val="00007ED0"/>
    <w:rsid w:val="00021E5C"/>
    <w:rsid w:val="00031268"/>
    <w:rsid w:val="00043067"/>
    <w:rsid w:val="00070E3A"/>
    <w:rsid w:val="0007790B"/>
    <w:rsid w:val="00083927"/>
    <w:rsid w:val="000C5935"/>
    <w:rsid w:val="000D107B"/>
    <w:rsid w:val="000E1E2B"/>
    <w:rsid w:val="000F21B8"/>
    <w:rsid w:val="001253F5"/>
    <w:rsid w:val="00182403"/>
    <w:rsid w:val="001B7274"/>
    <w:rsid w:val="001E35EF"/>
    <w:rsid w:val="0020760E"/>
    <w:rsid w:val="00213974"/>
    <w:rsid w:val="002152F9"/>
    <w:rsid w:val="00217674"/>
    <w:rsid w:val="00235960"/>
    <w:rsid w:val="00265864"/>
    <w:rsid w:val="00276C40"/>
    <w:rsid w:val="00276F1B"/>
    <w:rsid w:val="00280080"/>
    <w:rsid w:val="002804A7"/>
    <w:rsid w:val="002D2864"/>
    <w:rsid w:val="0031518F"/>
    <w:rsid w:val="0032275A"/>
    <w:rsid w:val="00353954"/>
    <w:rsid w:val="00397F73"/>
    <w:rsid w:val="003B2C0A"/>
    <w:rsid w:val="003C1A47"/>
    <w:rsid w:val="003C38D7"/>
    <w:rsid w:val="003E34AB"/>
    <w:rsid w:val="003F41D8"/>
    <w:rsid w:val="0047770D"/>
    <w:rsid w:val="004B1A02"/>
    <w:rsid w:val="004C2392"/>
    <w:rsid w:val="004C46C5"/>
    <w:rsid w:val="004D7661"/>
    <w:rsid w:val="004F11AB"/>
    <w:rsid w:val="004F40D2"/>
    <w:rsid w:val="004F6DF0"/>
    <w:rsid w:val="00512432"/>
    <w:rsid w:val="005259AC"/>
    <w:rsid w:val="00561105"/>
    <w:rsid w:val="005A6F27"/>
    <w:rsid w:val="0062394D"/>
    <w:rsid w:val="00661A99"/>
    <w:rsid w:val="00697898"/>
    <w:rsid w:val="006C67D2"/>
    <w:rsid w:val="006C7D36"/>
    <w:rsid w:val="006E2577"/>
    <w:rsid w:val="00706BBB"/>
    <w:rsid w:val="00723030"/>
    <w:rsid w:val="00730880"/>
    <w:rsid w:val="007329F0"/>
    <w:rsid w:val="0073450F"/>
    <w:rsid w:val="00737351"/>
    <w:rsid w:val="007422B1"/>
    <w:rsid w:val="0077155B"/>
    <w:rsid w:val="00773A29"/>
    <w:rsid w:val="007802CF"/>
    <w:rsid w:val="007A134D"/>
    <w:rsid w:val="007C311A"/>
    <w:rsid w:val="007D599C"/>
    <w:rsid w:val="007F263B"/>
    <w:rsid w:val="007F718D"/>
    <w:rsid w:val="008025AC"/>
    <w:rsid w:val="00816D3F"/>
    <w:rsid w:val="00822FF0"/>
    <w:rsid w:val="00846A09"/>
    <w:rsid w:val="008555D5"/>
    <w:rsid w:val="00866BC0"/>
    <w:rsid w:val="00890453"/>
    <w:rsid w:val="008A3CAB"/>
    <w:rsid w:val="008B0034"/>
    <w:rsid w:val="008B5938"/>
    <w:rsid w:val="008D0D93"/>
    <w:rsid w:val="008D6603"/>
    <w:rsid w:val="008D6AE5"/>
    <w:rsid w:val="008F082E"/>
    <w:rsid w:val="008F4A45"/>
    <w:rsid w:val="008F54C3"/>
    <w:rsid w:val="009077E3"/>
    <w:rsid w:val="00937273"/>
    <w:rsid w:val="00951CF1"/>
    <w:rsid w:val="009616FC"/>
    <w:rsid w:val="009B506E"/>
    <w:rsid w:val="009E5A73"/>
    <w:rsid w:val="009F3B9E"/>
    <w:rsid w:val="00A21EB6"/>
    <w:rsid w:val="00A30420"/>
    <w:rsid w:val="00A60CAE"/>
    <w:rsid w:val="00A62B11"/>
    <w:rsid w:val="00A93AD4"/>
    <w:rsid w:val="00B105F6"/>
    <w:rsid w:val="00B16D51"/>
    <w:rsid w:val="00B32368"/>
    <w:rsid w:val="00B412E9"/>
    <w:rsid w:val="00B4739A"/>
    <w:rsid w:val="00B642B7"/>
    <w:rsid w:val="00B75EDA"/>
    <w:rsid w:val="00B7694C"/>
    <w:rsid w:val="00B87F82"/>
    <w:rsid w:val="00B944D1"/>
    <w:rsid w:val="00BA4550"/>
    <w:rsid w:val="00BB710E"/>
    <w:rsid w:val="00BC21DF"/>
    <w:rsid w:val="00BD6423"/>
    <w:rsid w:val="00BF1AF1"/>
    <w:rsid w:val="00BF38AE"/>
    <w:rsid w:val="00C322DD"/>
    <w:rsid w:val="00C635A0"/>
    <w:rsid w:val="00C670D1"/>
    <w:rsid w:val="00C74B02"/>
    <w:rsid w:val="00C850D1"/>
    <w:rsid w:val="00C933C4"/>
    <w:rsid w:val="00D20605"/>
    <w:rsid w:val="00D2425B"/>
    <w:rsid w:val="00D33FE0"/>
    <w:rsid w:val="00D47CC1"/>
    <w:rsid w:val="00D6237D"/>
    <w:rsid w:val="00D70F9D"/>
    <w:rsid w:val="00D7207C"/>
    <w:rsid w:val="00D72FA0"/>
    <w:rsid w:val="00D81FD1"/>
    <w:rsid w:val="00D83DA5"/>
    <w:rsid w:val="00DE1370"/>
    <w:rsid w:val="00E12BD7"/>
    <w:rsid w:val="00E20842"/>
    <w:rsid w:val="00E21638"/>
    <w:rsid w:val="00E33EDC"/>
    <w:rsid w:val="00E34C23"/>
    <w:rsid w:val="00E36584"/>
    <w:rsid w:val="00E452C6"/>
    <w:rsid w:val="00E45CF7"/>
    <w:rsid w:val="00E500F6"/>
    <w:rsid w:val="00E57232"/>
    <w:rsid w:val="00E71A03"/>
    <w:rsid w:val="00E71BA6"/>
    <w:rsid w:val="00E7575B"/>
    <w:rsid w:val="00E76455"/>
    <w:rsid w:val="00EA3473"/>
    <w:rsid w:val="00EC2BE5"/>
    <w:rsid w:val="00ED47DE"/>
    <w:rsid w:val="00EF38DA"/>
    <w:rsid w:val="00EF576A"/>
    <w:rsid w:val="00F1053F"/>
    <w:rsid w:val="00F13111"/>
    <w:rsid w:val="00F45AAC"/>
    <w:rsid w:val="00F65633"/>
    <w:rsid w:val="00F701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1BE73F-5F1A-43C9-9774-C69A81F61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B02"/>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74B02"/>
    <w:pPr>
      <w:widowControl w:val="0"/>
      <w:autoSpaceDE w:val="0"/>
      <w:autoSpaceDN w:val="0"/>
      <w:adjustRightInd w:val="0"/>
    </w:pPr>
    <w:rPr>
      <w:rFonts w:ascii="Courier New" w:hAnsi="Courier New" w:cs="Courier New"/>
    </w:rPr>
  </w:style>
  <w:style w:type="character" w:customStyle="1" w:styleId="1">
    <w:name w:val="Основной шрифт абзаца1"/>
    <w:rsid w:val="00C74B02"/>
  </w:style>
  <w:style w:type="paragraph" w:styleId="a3">
    <w:name w:val="List Paragraph"/>
    <w:basedOn w:val="a"/>
    <w:uiPriority w:val="34"/>
    <w:qFormat/>
    <w:rsid w:val="008B0034"/>
    <w:pPr>
      <w:ind w:left="720"/>
      <w:contextualSpacing/>
    </w:pPr>
  </w:style>
  <w:style w:type="table" w:styleId="a4">
    <w:name w:val="Table Grid"/>
    <w:basedOn w:val="a1"/>
    <w:uiPriority w:val="59"/>
    <w:rsid w:val="00070E3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7329F0"/>
    <w:pPr>
      <w:spacing w:after="0" w:line="240" w:lineRule="auto"/>
      <w:jc w:val="both"/>
    </w:pPr>
    <w:rPr>
      <w:rFonts w:ascii="Times New Roman" w:eastAsia="Times New Roman" w:hAnsi="Times New Roman"/>
      <w:sz w:val="24"/>
      <w:szCs w:val="24"/>
      <w:lang w:eastAsia="ru-RU"/>
    </w:rPr>
  </w:style>
  <w:style w:type="character" w:customStyle="1" w:styleId="a6">
    <w:name w:val="Основной текст Знак"/>
    <w:basedOn w:val="a0"/>
    <w:link w:val="a5"/>
    <w:rsid w:val="007329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450521">
      <w:bodyDiv w:val="1"/>
      <w:marLeft w:val="0"/>
      <w:marRight w:val="0"/>
      <w:marTop w:val="0"/>
      <w:marBottom w:val="0"/>
      <w:divBdr>
        <w:top w:val="none" w:sz="0" w:space="0" w:color="auto"/>
        <w:left w:val="none" w:sz="0" w:space="0" w:color="auto"/>
        <w:bottom w:val="none" w:sz="0" w:space="0" w:color="auto"/>
        <w:right w:val="none" w:sz="0" w:space="0" w:color="auto"/>
      </w:divBdr>
      <w:divsChild>
        <w:div w:id="1038315840">
          <w:marLeft w:val="0"/>
          <w:marRight w:val="0"/>
          <w:marTop w:val="0"/>
          <w:marBottom w:val="150"/>
          <w:divBdr>
            <w:top w:val="none" w:sz="0" w:space="0" w:color="auto"/>
            <w:left w:val="none" w:sz="0" w:space="0" w:color="auto"/>
            <w:bottom w:val="none" w:sz="0" w:space="0" w:color="auto"/>
            <w:right w:val="none" w:sz="0" w:space="0" w:color="auto"/>
          </w:divBdr>
        </w:div>
        <w:div w:id="1075586574">
          <w:marLeft w:val="0"/>
          <w:marRight w:val="0"/>
          <w:marTop w:val="0"/>
          <w:marBottom w:val="150"/>
          <w:divBdr>
            <w:top w:val="none" w:sz="0" w:space="0" w:color="auto"/>
            <w:left w:val="none" w:sz="0" w:space="0" w:color="auto"/>
            <w:bottom w:val="none" w:sz="0" w:space="0" w:color="auto"/>
            <w:right w:val="none" w:sz="0" w:space="0" w:color="auto"/>
          </w:divBdr>
        </w:div>
        <w:div w:id="1919172966">
          <w:marLeft w:val="0"/>
          <w:marRight w:val="0"/>
          <w:marTop w:val="0"/>
          <w:marBottom w:val="150"/>
          <w:divBdr>
            <w:top w:val="none" w:sz="0" w:space="0" w:color="auto"/>
            <w:left w:val="none" w:sz="0" w:space="0" w:color="auto"/>
            <w:bottom w:val="none" w:sz="0" w:space="0" w:color="auto"/>
            <w:right w:val="none" w:sz="0" w:space="0" w:color="auto"/>
          </w:divBdr>
        </w:div>
        <w:div w:id="240338156">
          <w:marLeft w:val="0"/>
          <w:marRight w:val="0"/>
          <w:marTop w:val="0"/>
          <w:marBottom w:val="150"/>
          <w:divBdr>
            <w:top w:val="none" w:sz="0" w:space="0" w:color="auto"/>
            <w:left w:val="none" w:sz="0" w:space="0" w:color="auto"/>
            <w:bottom w:val="none" w:sz="0" w:space="0" w:color="auto"/>
            <w:right w:val="none" w:sz="0" w:space="0" w:color="auto"/>
          </w:divBdr>
        </w:div>
      </w:divsChild>
    </w:div>
    <w:div w:id="1246764131">
      <w:bodyDiv w:val="1"/>
      <w:marLeft w:val="0"/>
      <w:marRight w:val="0"/>
      <w:marTop w:val="0"/>
      <w:marBottom w:val="0"/>
      <w:divBdr>
        <w:top w:val="none" w:sz="0" w:space="0" w:color="auto"/>
        <w:left w:val="none" w:sz="0" w:space="0" w:color="auto"/>
        <w:bottom w:val="none" w:sz="0" w:space="0" w:color="auto"/>
        <w:right w:val="none" w:sz="0" w:space="0" w:color="auto"/>
      </w:divBdr>
      <w:divsChild>
        <w:div w:id="1008142184">
          <w:marLeft w:val="0"/>
          <w:marRight w:val="0"/>
          <w:marTop w:val="0"/>
          <w:marBottom w:val="150"/>
          <w:divBdr>
            <w:top w:val="none" w:sz="0" w:space="0" w:color="auto"/>
            <w:left w:val="none" w:sz="0" w:space="0" w:color="auto"/>
            <w:bottom w:val="none" w:sz="0" w:space="0" w:color="auto"/>
            <w:right w:val="none" w:sz="0" w:space="0" w:color="auto"/>
          </w:divBdr>
        </w:div>
        <w:div w:id="805971865">
          <w:marLeft w:val="0"/>
          <w:marRight w:val="0"/>
          <w:marTop w:val="0"/>
          <w:marBottom w:val="150"/>
          <w:divBdr>
            <w:top w:val="none" w:sz="0" w:space="0" w:color="auto"/>
            <w:left w:val="none" w:sz="0" w:space="0" w:color="auto"/>
            <w:bottom w:val="none" w:sz="0" w:space="0" w:color="auto"/>
            <w:right w:val="none" w:sz="0" w:space="0" w:color="auto"/>
          </w:divBdr>
        </w:div>
        <w:div w:id="92531062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E8946-491B-4F94-8C37-FFCF282A8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3998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Shakarboy G'oyibnazarov</cp:lastModifiedBy>
  <cp:revision>2</cp:revision>
  <cp:lastPrinted>2018-08-27T12:48:00Z</cp:lastPrinted>
  <dcterms:created xsi:type="dcterms:W3CDTF">2024-03-04T09:27:00Z</dcterms:created>
  <dcterms:modified xsi:type="dcterms:W3CDTF">2024-03-04T09:27:00Z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Arizachi</w:name>
    <w:value w:hidden="true">
      <w:unit w:active="false"/>
    </w:value>
  </w:element>
  <w:element w:id="5" w:kind="variable" w:selector="check" w:type="string" w:valueMode="normal" w:required="false" w:groupID="4">
    <w:identifier xml:space="preserve">ID5</w:identifier>
    <w:name xml:space="preserve">Arizachining manzili</w:name>
    <w:value w:hidden="false">
      <w:unit w:active="false"/>
    </w:value>
  </w:element>
  <w:element w:id="6" w:kind="variable" w:selector="check" w:type="string" w:valueMode="normal" w:required="false" w:groupID="4">
    <w:identifier xml:space="preserve">ID6</w:identifier>
    <w:name xml:space="preserve">Arizachi shaxsning F.I.O.si</w:name>
    <w:value w:hidden="false">
      <w:unit w:active="false"/>
    </w:value>
  </w:element>
  <w:element w:id="7" w:kind="variable" w:selector="check" w:type="string" w:valueMode="normal" w:required="false" w:groupID="4">
    <w:identifier xml:space="preserve">ID7</w:identifier>
    <w:name xml:space="preserve">Arizachi tarafning telefon raqami</w:name>
    <w:value w:hidden="false">
      <w:unit w:active="false"/>
    </w:value>
  </w:element>
  <w:element w:id="8" w:kind="variable" w:selector="check" w:type="string" w:valueMode="normal" w:required="false" w:groupID="4">
    <w:identifier xml:space="preserve">ID8</w:identifier>
    <w:name xml:space="preserve">Arizachi tarafning elektron manzili</w:name>
    <w:value w:hidden="false">
      <w:unit w:active="false"/>
    </w:value>
  </w:element>
  <w:element w:id="10" w:kind="category" w:selector="check" w:type="string" w:valueMode="normal" w:required="false">
    <w:identifier xml:space="preserve">ID10</w:identifier>
    <w:name xml:space="preserve">Javobgar</w:name>
    <w:value w:hidden="true">
      <w:unit w:active="false"/>
    </w:value>
  </w:element>
  <w:element w:id="11" w:kind="variable" w:selector="check" w:type="string" w:valueMode="normal" w:required="false" w:groupID="10">
    <w:identifier xml:space="preserve">ID11</w:identifier>
    <w:name xml:space="preserve">Javobgarning yashash manzili</w:name>
    <w:value w:hidden="false">
      <w:unit w:active="false"/>
    </w:value>
  </w:element>
  <w:element w:id="12" w:kind="variable" w:selector="check" w:type="string" w:valueMode="normal" w:required="false" w:groupID="10">
    <w:identifier xml:space="preserve">ID12</w:identifier>
    <w:name xml:space="preserve">Javobgarning F.I.O.si</w:name>
    <w:value w:hidden="false">
      <w:unit w:active="false"/>
    </w:value>
  </w:element>
  <w:element w:id="13" w:kind="variable" w:selector="check" w:type="string" w:valueMode="normal" w:required="false" w:groupID="10">
    <w:identifier xml:space="preserve">ID13</w:identifier>
    <w:name xml:space="preserve">Javobgarning telefon raqami</w:name>
    <w:value w:hidden="false">
      <w:unit w:active="false"/>
    </w:value>
  </w:element>
  <w:element w:id="14" w:kind="variable" w:selector="check" w:type="string" w:valueMode="normal" w:required="false" w:groupID="10">
    <w:identifier xml:space="preserve">ID14</w:identifier>
    <w:name xml:space="preserve">Javobgarning elektron manzili</w:name>
    <w:value w:hidden="false">
      <w:unit w:active="false"/>
    </w:value>
  </w:element>
  <w:element w:id="15" w:kind="category" w:selector="check" w:type="string" w:valueMode="normal" w:required="false">
    <w:identifier xml:space="preserve">ID15</w:identifier>
    <w:name xml:space="preserve">Ariza mazmuni</w:name>
    <w:value w:hidden="true">
      <w:unit w:active="false"/>
    </w:value>
  </w:element>
  <w:element w:id="16" w:kind="variable" w:selector="check" w:type="string" w:valueMode="normal" w:required="false" w:groupID="15">
    <w:identifier xml:space="preserve">ID16</w:identifier>
    <w:name xml:space="preserve">Javobgarga qarz berilgan sana</w:name>
    <w:value w:hidden="false">
      <w:unit w:active="false"/>
    </w:value>
  </w:element>
  <w:element w:id="17" w:kind="variable" w:selector="check" w:type="string" w:valueMode="normal" w:required="false" w:groupID="15">
    <w:identifier xml:space="preserve">ID17</w:identifier>
    <w:name xml:space="preserve">Qarz shartnomasini rasmiylashtirgan notarial idora nomi</w:name>
    <w:value w:hidden="false">
      <w:unit w:active="false"/>
    </w:value>
  </w:element>
  <w:element w:id="18" w:kind="variable" w:selector="check" w:type="string" w:valueMode="normal" w:required="false" w:groupID="15">
    <w:identifier xml:space="preserve">ID18</w:identifier>
    <w:name xml:space="preserve">Javobgarga berilgan qarz miqdori ( raqam va so‘z bilan ko‘rsatilishi lozim)</w:name>
    <w:value w:hidden="false">
      <w:unit w:active="false"/>
    </w:value>
  </w:element>
  <w:element w:id="19" w:kind="variable" w:selector="check" w:type="string" w:valueMode="normal" w:required="false" w:groupID="15">
    <w:identifier xml:space="preserve">ID19</w:identifier>
    <w:name xml:space="preserve">Javobgar qarzni qaytarishi lozim bo‘lgan sana</w:name>
    <w:value w:hidden="false">
      <w:unit w:active="false"/>
    </w:value>
  </w:element>
  <w:element w:id="20" w:kind="variable" w:selector="check" w:type="string" w:valueMode="normal" w:required="false" w:groupID="15">
    <w:identifier xml:space="preserve">ID20</w:identifier>
    <w:name xml:space="preserve">Javobgar qarzni qaytarmaganligi sababli u to‘lashi so‘ralayotgan ustama (bank foizi) summasi</w:name>
    <w:value w:hidden="false">
      <w:unit w:active="false"/>
    </w:value>
  </w:element>
  <w:element w:id="21" w:kind="variable" w:selector="check" w:type="string" w:valueMode="normal" w:required="false" w:groupID="15">
    <w:identifier xml:space="preserve">ID21</w:identifier>
    <w:name xml:space="preserve">Ilova qilinayotgan hujjatlar ro‘yxati </w:name>
    <w:value w:hidden="false">
      <w:unit w:active="false"/>
    </w:value>
  </w:element>
</w:structure>
</file>