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14"/>
        <w:gridCol w:w="4841"/>
      </w:tblGrid>
      <w:tr>
        <w:tc>
          <w:tcPr>
            <w:tcW w:w="4691" w:type="dxa"/>
          </w:tcPr>
          <w:p>
            <w:pPr>
              <w:spacing w:after="0"/>
              <w:rPr>
                <w:sz w:val="28"/>
                <w:rFonts w:ascii="Times New Roman" w:hAnsi="Times New Roman"/>
              </w:rPr>
            </w:pPr>
          </w:p>
        </w:tc>
        <w:tc>
          <w:tcPr>
            <w:tcW w:w="4880" w:type="dxa"/>
          </w:tcPr>
          <w:p>
            <w:pPr>
              <w:jc w:val="both"/>
              <w:spacing w:after="0"/>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p>
            <w:pPr>
              <w:spacing w:after="0"/>
              <w:rPr>
                <w:sz w:val="28"/>
                <w:rFonts w:ascii="Times New Roman" w:hAnsi="Times New Roman"/>
              </w:rPr>
            </w:pPr>
          </w:p>
        </w:tc>
      </w:tr>
      <w:tr>
        <w:tc>
          <w:tcPr>
            <w:tcW w:w="4691" w:type="dxa"/>
          </w:tcPr>
          <w:p>
            <w:pPr>
              <w:spacing w:after="0"/>
              <w:rPr>
                <w:sz w:val="28"/>
                <w:rFonts w:ascii="Times New Roman" w:hAnsi="Times New Roman"/>
              </w:rPr>
            </w:pPr>
          </w:p>
        </w:tc>
        <w:tc>
          <w:tcPr>
            <w:tcW w:w="4880" w:type="dxa"/>
            <w:hideMark/>
          </w:tcPr>
          <w:p>
            <w:pPr>
              <w:jc w:val="both"/>
              <w:spacing w:after="0"/>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Arizachining yashash manzili</w:t>
              <w:fldChar w:fldCharType="end"/>
            </w:r>
            <w:r>
              <w:rPr>
                <w:sz w:val="28"/>
                <w:rFonts w:ascii="Times New Roman" w:hAnsi="Times New Roman"/>
              </w:rPr>
              <w:t xml:space="preserve">da yashovchi</w:t>
            </w:r>
          </w:p>
        </w:tc>
      </w:tr>
      <w:tr>
        <w:trPr>
          <w:trHeight w:val="378"/>
        </w:trPr>
        <w:tc>
          <w:tcPr>
            <w:tcW w:w="4691" w:type="dxa"/>
          </w:tcPr>
          <w:p>
            <w:pPr>
              <w:spacing w:after="0"/>
              <w:rPr>
                <w:sz w:val="28"/>
                <w:rFonts w:ascii="Times New Roman" w:hAnsi="Times New Roman"/>
              </w:rPr>
            </w:pPr>
          </w:p>
        </w:tc>
        <w:tc>
          <w:tcPr>
            <w:tcW w:w="4880" w:type="dxa"/>
            <w:hideMark/>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Arizachining F.I.O.si</w:t>
              <w:fldChar w:fldCharType="end"/>
            </w:r>
            <w:r>
              <w:rPr>
                <w:sz w:val="28"/>
                <w:rFonts w:ascii="Times New Roman" w:hAnsi="Times New Roman"/>
              </w:rPr>
              <w:t xml:space="preserve"> tomonidan</w:t>
            </w:r>
          </w:p>
        </w:tc>
      </w:tr>
      <w:tr>
        <w:trPr>
          <w:trHeight w:val="378"/>
        </w:trPr>
        <w:tc>
          <w:tcPr>
            <w:tcW w:w="4691" w:type="dxa"/>
          </w:tcPr>
          <w:p>
            <w:pPr>
              <w:spacing w:after="0"/>
              <w:rPr>
                <w:sz w:val="28"/>
                <w:rFonts w:ascii="Times New Roman" w:hAnsi="Times New Roman"/>
              </w:rPr>
            </w:pPr>
          </w:p>
        </w:tc>
        <w:tc>
          <w:tcPr>
            <w:tcW w:w="4880" w:type="dxa"/>
          </w:tcPr>
          <w:p>
            <w:pPr>
              <w:jc w:val="both"/>
              <w:spacing w:after="0"/>
              <w:rPr>
                <w:sz w:val="28"/>
                <w:rFonts w:ascii="Times New Roman" w:hAnsi="Times New Roman"/>
              </w:rPr>
            </w:pPr>
            <w:r>
              <w:rPr>
                <w:sz w:val="28"/>
                <w:rFonts w:ascii="Times New Roman" w:hAnsi="Times New Roman"/>
              </w:rPr>
              <w:t xml:space="preserve">Telyefon: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Arizachining telefon raqami</w:t>
              <w:fldChar w:fldCharType="end"/>
            </w:r>
          </w:p>
          <w:p>
            <w:pPr>
              <w:jc w:val="both"/>
              <w:spacing w:after="0"/>
              <w:rPr>
                <w:sz w:val="28"/>
                <w:rFonts w:ascii="Times New Roman" w:hAnsi="Times New Roman"/>
              </w:rPr>
            </w:pPr>
            <w:r>
              <w:rPr>
                <w:sz w:val="28"/>
                <w:rFonts w:ascii="Times New Roman" w:hAnsi="Times New Roman"/>
              </w:rPr>
              <w:t xml:space="preserve">E-mail: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Arizachining E-mail manzili</w:t>
              <w:fldChar w:fldCharType="end"/>
            </w:r>
          </w:p>
        </w:tc>
      </w:tr>
      <w:tr>
        <w:trPr>
          <w:trHeight w:val="378"/>
        </w:trPr>
        <w:tc>
          <w:tcPr>
            <w:tcW w:w="4691" w:type="dxa"/>
          </w:tcPr>
          <w:p>
            <w:pPr>
              <w:spacing w:after="0"/>
              <w:rPr>
                <w:sz w:val="28"/>
                <w:rFonts w:ascii="Times New Roman" w:hAnsi="Times New Roman"/>
              </w:rPr>
            </w:pPr>
            <w:r>
              <w:rPr>
                <w:sz w:val="28"/>
                <w:rFonts w:ascii="Times New Roman" w:hAnsi="Times New Roman"/>
              </w:rPr>
            </w:r>
          </w:p>
        </w:tc>
        <w:tc>
          <w:tcPr>
            <w:tcW w:w="4880" w:type="dxa"/>
          </w:tcPr>
          <w:p>
            <w:pPr>
              <w:jc w:val="both"/>
              <w:spacing w:after="0"/>
              <w:rPr>
                <w:sz w:val="28"/>
                <w:rFonts w:ascii="Times New Roman" w:hAnsi="Times New Roman"/>
              </w:rPr>
            </w:pPr>
          </w:p>
        </w:tc>
      </w:tr>
    </w:tbl>
    <w:p>
      <w:pPr>
        <w:pStyle w:val="ConsPlusNonformat"/>
        <w:jc w:val="center"/>
        <w:spacing w:line="276" w:lineRule="auto"/>
        <w:rPr>
          <w:b/>
          <w:sz w:val="28"/>
          <w:rFonts w:ascii="Times New Roman" w:hAnsi="Times New Roman"/>
        </w:rPr>
      </w:pPr>
      <w:r>
        <w:rPr>
          <w:b/>
          <w:sz w:val="28"/>
          <w:rFonts w:ascii="Times New Roman" w:hAnsi="Times New Roman"/>
        </w:rPr>
        <w:t>ARIZA</w:t>
      </w:r>
    </w:p>
    <w:p>
      <w:pPr>
        <w:pStyle w:val="ConsPlusNonformat"/>
        <w:jc w:val="center"/>
        <w:spacing w:line="276" w:lineRule="auto"/>
        <w:rPr>
          <w:sz w:val="28"/>
          <w:rFonts w:ascii="Times New Roman" w:hAnsi="Times New Roman"/>
        </w:rPr>
      </w:pPr>
      <w:r>
        <w:rPr>
          <w:sz w:val="28"/>
          <w:rFonts w:ascii="Times New Roman" w:hAnsi="Times New Roman"/>
        </w:rPr>
        <w:t xml:space="preserve">(sud buyrugʻini bekor qilish haqida)</w:t>
      </w:r>
    </w:p>
    <w:p>
      <w:pPr>
        <w:pStyle w:val="ConsPlusNonformat"/>
        <w:jc w:val="both"/>
        <w:spacing w:line="276" w:lineRule="auto"/>
        <w:rPr>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ab/>
        <w:t xml:space="preserve"> Fuqarolik ishlari boʻyicha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Sud buyrugʻi qabul qilgan sud nomi </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Sud buyrugʻi qabul qilingan sana</w:t>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Qabul qilingan sud buyrugʻining raqami </w:t>
        <w:fldChar w:fldCharType="end"/>
      </w:r>
      <w:r>
        <w:rPr>
          <w:sz w:val="28"/>
          <w:rFonts w:ascii="Times New Roman" w:hAnsi="Times New Roman"/>
        </w:rPr>
        <w:t xml:space="preserve">-sonli sud buyrugʻiga asosan mendan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Sud buyrugʻiga asosan foydasiga moddiy taʼminot undirish belgilangan bolaning  tugʻulgan sanasi </w:t>
        <w:fldChar w:fldCharType="end"/>
      </w:r>
      <w:r>
        <w:rPr>
          <w:sz w:val="28"/>
          <w:rFonts w:ascii="Times New Roman" w:hAnsi="Times New Roman"/>
        </w:rPr>
        <w:t xml:space="preserve">da tugʻilgan  voyaga yetmagan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Sud buyrugʻiga asosan foydasiga moddiy taʼminot undirish belgilangan bolaning  F.I.Sh.si</w:t>
        <w:fldChar w:fldCharType="end"/>
      </w:r>
      <w:r>
        <w:rPr>
          <w:sz w:val="28"/>
          <w:rFonts w:ascii="Times New Roman" w:hAnsi="Times New Roman"/>
        </w:rPr>
        <w:t xml:space="preserve">ismli bolaning moddiy taʼminoti uchun aliment undirish belgilanib,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Sud buyrugʻi chiqarilishi toʻgʻrisida ariza bergan shaxsning F.I.Sh.i </w:t>
        <w:fldChar w:fldCharType="end"/>
      </w:r>
      <w:r>
        <w:rPr>
          <w:sz w:val="28"/>
          <w:rFonts w:ascii="Times New Roman" w:hAnsi="Times New Roman"/>
        </w:rPr>
        <w:t xml:space="preserve">ning arizasi qanoatlantirilgan.  Men ushbu sud buyrugʻi qabul qilingan sud jarayonida qatnashmaganman. </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Oʻzbekiston Respublikasi Fuqarolik protsessual kodeksining 170-moddasiga koʻra, sud buyrugʻi nizosiz talablar boʻyicha sud muhokamasi oʻtkazmasdan beriladigan sud hujjatidir. </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Men va sud buyrugʻi qabul qilinishida arizachi sifatida qatnashgan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Sud buyrugʻi chiqarilishi toʻgʻrisida ariza bergan shaxsning F.I.Sh.i </w:t>
        <w:fldChar w:fldCharType="end"/>
      </w:r>
      <w:r>
        <w:rPr>
          <w:sz w:val="28"/>
          <w:rFonts w:ascii="Times New Roman" w:hAnsi="Times New Roman"/>
        </w:rPr>
        <w:t xml:space="preserve"> oʻrtamizda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Sud buyrugʻiga asosan foydasiga moddiy taʼminot undirish belgilangan bolaning  tugʻulgan sanasi </w:t>
        <w:fldChar w:fldCharType="end"/>
      </w:r>
      <w:r>
        <w:rPr>
          <w:sz w:val="28"/>
          <w:rFonts w:ascii="Times New Roman" w:hAnsi="Times New Roman"/>
        </w:rPr>
        <w:t xml:space="preserve"> da tugʻilgan voyaga yetmagan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Sud buyrugʻiga asosan foydasiga moddiy taʼminot undirish belgilangan bolaning  F.I.Sh.si</w:t>
        <w:fldChar w:fldCharType="end"/>
      </w:r>
      <w:r>
        <w:rPr>
          <w:sz w:val="28"/>
          <w:rFonts w:ascii="Times New Roman" w:hAnsi="Times New Roman"/>
        </w:rPr>
        <w:t xml:space="preserve">ga otalikni belgilash masalasida nizo mavjud. Men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Sud buyrugʻiga asosan foydasiga moddiy taʼminot undirish belgilangan bolaning  F.I.Sh.si</w:t>
        <w:fldChar w:fldCharType="end"/>
      </w:r>
      <w:r>
        <w:rPr>
          <w:sz w:val="28"/>
          <w:rFonts w:ascii="Times New Roman" w:hAnsi="Times New Roman"/>
        </w:rPr>
        <w:t xml:space="preserve">ni oʻz farzandim deb bilmayman. </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  Fuqarolik protsessual kodeksining 181-moddasiga koʻra, qarzdor arz qilingan talabga qarshi eʼtirozlarini buyruqni bergan sudga beradi. Aliment undirish toʻgʻrisidagi sud buyrugʻi ijro ishini yuritish boʻyicha undiruv tugaguniga qadar undiruvchining arizasiga koʻra bekor qilinishi mumkin. Bunday holda sudʼya sud buyrugʻini bekor qilib, bu haqida ajrim chiqaradi.  </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 Yuqoridagilarga koʻra, Oʻzbekiston Respublikasi Fuqarolik protsessual  Kodeksining 3, 4, 170, 181, 189-moddalariga asosan </w:t>
      </w:r>
    </w:p>
    <w:p>
      <w:pPr>
        <w:pStyle w:val="ConsPlusNonformat"/>
        <w:jc w:val="both"/>
        <w:spacing w:line="276" w:lineRule="auto"/>
        <w:rPr>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SOʻRAYMAN:</w:t>
      </w:r>
    </w:p>
    <w:p>
      <w:pPr>
        <w:pStyle w:val="ConsPlusNonformat"/>
        <w:jc w:val="both"/>
        <w:spacing w:line="276" w:lineRule="auto"/>
        <w:rPr>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 xml:space="preserve"> </w:t>
        <w:tab/>
        <w:t xml:space="preserve">Fuqarolik ishlari boʻyicha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Sud buyrugʻi qabul qilgan sud nomi </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Sud buyrugʻi qabul qilingan sana</w:t>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Sud buyrugʻi chiqarilishi toʻgʻrisida ariza bergan shaxsning F.I.Sh.i </w:t>
        <w:fldChar w:fldCharType="end"/>
      </w:r>
      <w:r>
        <w:rPr>
          <w:sz w:val="28"/>
          <w:rFonts w:ascii="Times New Roman" w:hAnsi="Times New Roman"/>
        </w:rPr>
        <w:t xml:space="preserve"> foydasiga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Sud buyrugʻiga asosan foydasiga moddiy taʼminot undirish belgilangan bolaning  tugʻulgan sanasi </w:t>
        <w:fldChar w:fldCharType="end"/>
      </w:r>
      <w:r>
        <w:rPr>
          <w:sz w:val="28"/>
          <w:rFonts w:ascii="Times New Roman" w:hAnsi="Times New Roman"/>
        </w:rPr>
        <w:t xml:space="preserve">da tugʻilgan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Sud buyrugʻiga asosan foydasiga moddiy taʼminot undirish belgilangan bolaning  F.I.Sh.si</w:t>
        <w:fldChar w:fldCharType="end"/>
      </w:r>
      <w:r>
        <w:rPr>
          <w:sz w:val="28"/>
          <w:rFonts w:ascii="Times New Roman" w:hAnsi="Times New Roman"/>
        </w:rPr>
        <w:t xml:space="preserve">_ ismli bolaning moddiy taʼminoti uchun aliment undirish haqidagi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Qabul qilingan sud buyrugʻining raqami </w:t>
        <w:fldChar w:fldCharType="end"/>
      </w:r>
      <w:r>
        <w:rPr>
          <w:sz w:val="28"/>
          <w:rFonts w:ascii="Times New Roman" w:hAnsi="Times New Roman"/>
        </w:rPr>
        <w:t xml:space="preserve">- sonli sud buyrugʻini bekor qilishingizni. </w:t>
      </w:r>
    </w:p>
    <w:p>
      <w:pPr>
        <w:pStyle w:val="ConsPlusNonformat"/>
        <w:jc w:val="both"/>
        <w:spacing w:line="276" w:lineRule="auto"/>
        <w:rPr>
          <w:sz w:val="28"/>
          <w:rFonts w:ascii="Times New Roman" w:hAnsi="Times New Roman"/>
        </w:rPr>
      </w:pPr>
    </w:p>
    <w:p>
      <w:pPr>
        <w:pStyle w:val="ConsPlusNonformat"/>
        <w:jc w:val="both"/>
        <w:spacing w:line="276" w:lineRule="auto"/>
        <w:rPr>
          <w:b/>
          <w:sz w:val="28"/>
          <w:rFonts w:ascii="Times New Roman" w:hAnsi="Times New Roman"/>
        </w:rPr>
      </w:pPr>
      <w:r>
        <w:rPr>
          <w:b/>
          <w:sz w:val="28"/>
          <w:rFonts w:ascii="Times New Roman" w:hAnsi="Times New Roman"/>
        </w:rPr>
        <w:t xml:space="preserve">          Ilova:</w:t>
      </w:r>
    </w:p>
    <w:p>
      <w:pPr>
        <w:pStyle w:val="ConsPlusNonformat"/>
        <w:jc w:val="both"/>
        <w:spacing w:line="276" w:lineRule="auto"/>
        <w:rPr>
          <w:sz w:val="28"/>
          <w:rFonts w:ascii="Times New Roman" w:hAnsi="Times New Roman"/>
        </w:rPr>
      </w:pPr>
      <w:r>
        <w:rPr>
          <w:sz w:val="28"/>
          <w:rFonts w:ascii="Times New Roman" w:hAnsi="Times New Roman"/>
        </w:rPr>
        <w:t xml:space="preserve">    1. Sud buyrugʻi nusxasi.</w:t>
      </w:r>
    </w:p>
    <w:p>
      <w:pPr>
        <w:pStyle w:val="ConsPlusNonformat"/>
        <w:jc w:val="both"/>
        <w:spacing w:line="276" w:lineRule="auto"/>
        <w:rPr>
          <w:sz w:val="28"/>
          <w:rFonts w:ascii="Times New Roman" w:hAnsi="Times New Roman"/>
        </w:rPr>
      </w:pPr>
      <w:r>
        <w:rPr>
          <w:sz w:val="28"/>
          <w:rFonts w:ascii="Times New Roman" w:hAnsi="Times New Roman"/>
        </w:rPr>
        <w:t xml:space="preserve">    2. Arizamni asoslovchi hujjatlar.    </w:t>
      </w:r>
    </w:p>
    <w:p>
      <w:pPr>
        <w:pStyle w:val="ConsPlusNonformat"/>
        <w:jc w:val="both"/>
        <w:spacing w:line="276" w:lineRule="auto"/>
        <w:rPr>
          <w:sz w:val="28"/>
          <w:rFonts w:ascii="Times New Roman" w:hAnsi="Times New Roman"/>
        </w:rPr>
      </w:pPr>
    </w:p>
    <w:p>
      <w:pPr>
        <w:pStyle w:val="ConsPlusNonformat"/>
        <w:jc w:val="both"/>
        <w:spacing w:line="276" w:lineRule="auto"/>
        <w:rPr>
          <w:i/>
          <w:sz w:val="28"/>
          <w:rFonts w:ascii="Times New Roman" w:hAnsi="Times New Roman"/>
        </w:rPr>
      </w:pPr>
      <w:r>
        <w:rPr>
          <w:b/>
          <w:sz w:val="28"/>
          <w:rFonts w:ascii="Times New Roman" w:hAnsi="Times New Roman"/>
        </w:rPr>
        <w:t xml:space="preserve">Daʼvogar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Arizachining F.I.O.si</w:t>
        <w:fldChar w:fldCharType="end"/>
      </w:r>
      <w:r>
        <w:rPr>
          <w:b/>
          <w:sz w:val="28"/>
          <w:rFonts w:ascii="Times New Roman" w:hAnsi="Times New Roman"/>
        </w:rPr>
        <w:t xml:space="preserve">      </w:t>
      </w:r>
      <w:r>
        <w:rPr>
          <w:i/>
          <w:sz w:val="28"/>
          <w:rFonts w:ascii="Times New Roman" w:hAnsi="Times New Roman"/>
        </w:rPr>
        <w:t xml:space="preserve">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r>
        <w:rPr>
          <w:b/>
          <w:sz w:val="28"/>
          <w:rFonts w:ascii="Times New Roman" w:hAnsi="Times New Roman"/>
        </w:rPr>
        <w:t xml:space="preserve">           </w:t>
      </w:r>
    </w:p>
    <w:p>
      <w:pPr>
        <w:pStyle w:val="ConsPlusNonformat"/>
        <w:jc w:val="both"/>
        <w:rPr>
          <w:b/>
          <w:sz w:val="28"/>
          <w:rFonts w:ascii="Times New Roman" w:hAnsi="Times New Roman"/>
        </w:rPr>
      </w:pPr>
    </w:p>
    <w:p>
      <w:pPr>
        <w:pStyle w:val="ConsPlusNonformat"/>
        <w:jc w:val="both"/>
        <w:rPr>
          <w:b/>
          <w:sz w:val="22"/>
          <w:rFonts w:ascii="Times New Roman" w:hAnsi="Times New Roman"/>
        </w:rPr>
      </w:pPr>
    </w:p>
    <w:p>
      <w:pPr>
        <w:pStyle w:val="ConsPlusNonformat"/>
        <w:jc w:val="both"/>
        <w:rPr>
          <w:b/>
          <w:sz w:val="22"/>
          <w:rFonts w:ascii="Times New Roman" w:hAnsi="Times New Roman"/>
        </w:rPr>
      </w:pPr>
    </w:p>
    <w:sectPr>
      <w:type w:val="continuous"/>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612"/>
    <w:rsid w:val="000B30D9"/>
    <w:rsid w:val="000F75BC"/>
    <w:rsid w:val="00752E69"/>
    <w:rsid w:val="00FD66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E86613-F774-4E36-A265-19DE9157B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75BC"/>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0F75B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0F75BC"/>
    <w:pPr>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378</Words>
  <Characters>2161</Characters>
  <Application>Microsoft Office Word</Application>
  <DocSecurity>0</DocSecurity>
  <Lines>18</Lines>
  <Paragraphs>5</Paragraphs>
  <ScaleCrop>false</ScaleCrop>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2</cp:revision>
  <dcterms:created xsi:type="dcterms:W3CDTF">2025-03-28T08:44:00Z</dcterms:created>
  <dcterms:modified xsi:type="dcterms:W3CDTF">2025-03-28T08:45:00Z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 rekvizitlari</w:name>
    <w:value w:hidden="true">
      <w:unit w:active="false"/>
    </w:value>
  </w:element>
  <w:element w:id="2" w:kind="variable" w:type="string" w:valueMode="normal" w:required="false" w:groupID="1">
    <w:identifier xml:space="preserve">ID2</w:identifier>
    <w:name xml:space="preserve">Ariza berilgan fuqarolik sudi nomi</w:name>
    <w:value w:hidden="false">
      <w:unit w:active="false"/>
    </w:value>
  </w:element>
  <w:element w:id="3" w:kind="variable" w:type="string" w:valueMode="normal" w:required="false" w:groupID="1">
    <w:identifier xml:space="preserve">ID3</w:identifier>
    <w:name xml:space="preserve">Ariza berilgan sana</w:name>
    <w:value w:hidden="false">
      <w:unit w:active="false"/>
    </w:value>
  </w:element>
  <w:element w:id="4" w:kind="category" w:type="string" w:valueMode="normal" w:required="false" w:groupID="4">
    <w:identifier xml:space="preserve">ID4</w:identifier>
    <w:name xml:space="preserve">Ariza</w:name>
    <w:value w:hidden="true">
      <w:unit w:active="false"/>
    </w:value>
  </w:element>
  <w:element w:id="5" w:kind="variable" w:type="string" w:valueMode="normal" w:required="false" w:groupID="4">
    <w:identifier xml:space="preserve">ID5</w:identifier>
    <w:name xml:space="preserve">Arizachining yashash manzili</w:name>
    <w:value w:hidden="false">
      <w:unit w:active="false"/>
    </w:value>
  </w:element>
  <w:element w:id="6" w:kind="variable" w:type="string" w:valueMode="normal" w:required="false" w:groupID="4">
    <w:identifier xml:space="preserve">ID6</w:identifier>
    <w:name xml:space="preserve">Arizachining F.I.O.si</w:name>
    <w:value w:hidden="false">
      <w:unit w:active="false"/>
    </w:value>
  </w:element>
  <w:element w:id="7" w:kind="variable" w:type="string" w:valueMode="normal" w:required="false" w:groupID="4">
    <w:identifier xml:space="preserve">ID7</w:identifier>
    <w:name xml:space="preserve">Arizachining telefon raqami</w:name>
    <w:value w:hidden="false">
      <w:unit w:active="false"/>
    </w:value>
  </w:element>
  <w:element w:id="8" w:kind="variable" w:type="string" w:valueMode="normal" w:required="false" w:groupID="4">
    <w:identifier xml:space="preserve">ID8</w:identifier>
    <w:name xml:space="preserve">Arizachining E-mail manzili</w:name>
    <w:value w:hidden="false">
      <w:unit w:active="false"/>
    </w:value>
  </w:element>
  <w:element w:id="10" w:kind="category" w:type="string" w:valueMode="normal" w:required="false" w:groupID="10">
    <w:identifier xml:space="preserve">ID10</w:identifier>
    <w:name xml:space="preserve">Ariza mazmuni</w:name>
    <w:value w:hidden="true">
      <w:unit w:active="false"/>
    </w:value>
  </w:element>
  <w:element w:id="11" w:kind="variable" w:type="string" w:valueMode="normal" w:required="false" w:groupID="10">
    <w:identifier xml:space="preserve">ID11</w:identifier>
    <w:name xml:space="preserve">Sud buyrugʻi qabul qilgan sud nomi </w:name>
    <w:value w:hidden="false">
      <w:unit w:active="false"/>
    </w:value>
  </w:element>
  <w:element w:id="12" w:kind="variable" w:type="string" w:valueMode="normal" w:required="false" w:groupID="10">
    <w:identifier xml:space="preserve">ID12</w:identifier>
    <w:name xml:space="preserve">Sud buyrugʻi qabul qilingan sana</w:name>
    <w:value w:hidden="false">
      <w:unit w:active="false"/>
    </w:value>
  </w:element>
  <w:element w:id="13" w:kind="variable" w:type="string" w:valueMode="normal" w:required="false" w:groupID="10">
    <w:identifier xml:space="preserve">ID13</w:identifier>
    <w:name xml:space="preserve">Qabul qilingan sud buyrugʻining raqami </w:name>
    <w:value w:hidden="false">
      <w:unit w:active="false"/>
    </w:value>
  </w:element>
  <w:element w:id="14" w:kind="variable" w:type="string" w:valueMode="normal" w:required="false" w:groupID="10">
    <w:identifier xml:space="preserve">ID14</w:identifier>
    <w:name xml:space="preserve">Sud buyrugʻiga asosan foydasiga moddiy taʼminot undirish belgilangan bolaning  tugʻulgan sanasi </w:name>
    <w:value w:hidden="false">
      <w:unit w:active="false"/>
    </w:value>
  </w:element>
  <w:element w:id="15" w:kind="variable" w:type="string" w:valueMode="normal" w:required="false" w:groupID="10">
    <w:identifier xml:space="preserve">ID15</w:identifier>
    <w:name xml:space="preserve">Sud buyrugʻiga asosan foydasiga moddiy taʼminot undirish belgilangan bolaning  F.I.Sh.si</w:name>
    <w:value w:hidden="false">
      <w:unit w:active="false"/>
    </w:value>
  </w:element>
  <w:element w:id="16" w:kind="variable" w:type="string" w:valueMode="normal" w:required="false" w:groupID="10">
    <w:identifier xml:space="preserve">ID16</w:identifier>
    <w:name xml:space="preserve">Sud buyrugʻi chiqarilishi toʻgʻrisida ariza bergan shaxsning F.I.Sh.i </w:name>
    <w:value w:hidden="false">
      <w:unit w:active="false"/>
    </w:value>
  </w:element>
</w:structure>
</file>