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5"/>
        <w:gridCol w:w="4790"/>
      </w:tblGrid>
      <w:tr>
        <w:tc>
          <w:tcPr>
            <w:tcW w:w="4691" w:type="dxa"/>
          </w:tcPr>
          <w:p>
            <w:pPr>
              <w:spacing w:after="0"/>
              <w:rPr>
                <w:sz w:val="28"/>
                <w:rFonts w:ascii="Times New Roman" w:hAnsi="Times New Roman"/>
              </w:rPr>
            </w:pPr>
          </w:p>
        </w:tc>
        <w:tc>
          <w:tcPr>
            <w:tcW w:w="4880" w:type="dxa"/>
          </w:tcPr>
          <w:p>
            <w:pPr>
              <w:jc w:val="both"/>
              <w:spacing w:after="0"/>
              <w:rPr>
                <w:b/>
                <w:sz w:val="28"/>
                <w:rFonts w:ascii="Times New Roman" w:hAnsi="Times New Roman"/>
              </w:rPr>
            </w:pPr>
            <w:r>
              <w:rPr>
                <w:b/>
                <w:sz w:val="28"/>
                <w:rFonts w:ascii="Times New Roman" w:hAnsi="Times New Roman"/>
              </w:rPr>
              <w:t xml:space="preserve">Fuqarolik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 xml:space="preserve"> sudiga</w:t>
            </w:r>
          </w:p>
        </w:tc>
      </w:tr>
      <w:tr>
        <w:tc>
          <w:tcPr>
            <w:tcW w:w="4691" w:type="dxa"/>
          </w:tcPr>
          <w:p>
            <w:pPr>
              <w:spacing w:after="0"/>
              <w:rPr>
                <w:sz w:val="28"/>
                <w:rFonts w:ascii="Times New Roman" w:hAnsi="Times New Roman"/>
              </w:rPr>
            </w:pPr>
          </w:p>
        </w:tc>
        <w:tc>
          <w:tcPr>
            <w:tcW w:w="4880" w:type="dxa"/>
            <w:hideMark/>
          </w:tcPr>
          <w:p>
            <w:pPr>
              <w:jc w:val="both"/>
              <w:spacing w:after="0"/>
              <w:rPr>
                <w:sz w:val="28"/>
                <w:rFonts w:ascii="Times New Roman" w:hAnsi="Times New Roman"/>
              </w:rPr>
            </w:pP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Arizachining yashash manzili</w:t>
              <w:fldChar w:fldCharType="end"/>
            </w:r>
            <w:r>
              <w:rPr>
                <w:sz w:val="28"/>
                <w:rFonts w:ascii="Times New Roman" w:hAnsi="Times New Roman"/>
              </w:rPr>
              <w:t xml:space="preserve">da yashovchi</w:t>
            </w:r>
          </w:p>
        </w:tc>
      </w:tr>
      <w:tr>
        <w:trPr>
          <w:trHeight w:val="378"/>
        </w:trPr>
        <w:tc>
          <w:tcPr>
            <w:tcW w:w="4691" w:type="dxa"/>
          </w:tcPr>
          <w:p>
            <w:pPr>
              <w:spacing w:after="0"/>
              <w:rPr>
                <w:sz w:val="28"/>
                <w:rFonts w:ascii="Times New Roman" w:hAnsi="Times New Roman"/>
              </w:rPr>
            </w:pPr>
          </w:p>
        </w:tc>
        <w:tc>
          <w:tcPr>
            <w:tcW w:w="4880" w:type="dxa"/>
            <w:hideMark/>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Arizachining F.I.O.si</w:t>
              <w:fldChar w:fldCharType="end"/>
            </w:r>
            <w:r>
              <w:rPr>
                <w:sz w:val="28"/>
                <w:rFonts w:ascii="Times New Roman" w:hAnsi="Times New Roman"/>
              </w:rPr>
              <w:t xml:space="preserve"> tomonidan</w:t>
            </w:r>
          </w:p>
        </w:tc>
      </w:tr>
      <w:tr>
        <w:trPr>
          <w:trHeight w:val="378"/>
        </w:trPr>
        <w:tc>
          <w:tcPr>
            <w:tcW w:w="4691" w:type="dxa"/>
          </w:tcPr>
          <w:p>
            <w:pPr>
              <w:spacing w:after="0"/>
              <w:rPr>
                <w:sz w:val="28"/>
                <w:rFonts w:ascii="Times New Roman" w:hAnsi="Times New Roman"/>
              </w:rPr>
            </w:pPr>
          </w:p>
        </w:tc>
        <w:tc>
          <w:tcPr>
            <w:tcW w:w="4880" w:type="dxa"/>
          </w:tcPr>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Arizachining telefon raqami</w:t>
              <w:fldChar w:fldCharType="end"/>
            </w:r>
          </w:p>
          <w:p>
            <w:pPr>
              <w:jc w:val="both"/>
              <w:spacing w:after="0"/>
              <w:rPr>
                <w:sz w:val="28"/>
                <w:rFonts w:ascii="Times New Roman" w:hAnsi="Times New Roman"/>
              </w:rPr>
            </w:pPr>
            <w:r>
              <w:rPr>
                <w:sz w:val="28"/>
                <w:rFonts w:ascii="Times New Roman" w:hAnsi="Times New Roman"/>
              </w:rPr>
              <w:t xml:space="preserve">E-mail: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Arizachining E-mail manzili</w:t>
              <w:fldChar w:fldCharType="end"/>
            </w:r>
          </w:p>
        </w:tc>
      </w:tr>
      <w:tr>
        <w:trPr>
          <w:trHeight w:val="378"/>
        </w:trPr>
        <w:tc>
          <w:tcPr>
            <w:tcW w:w="4691" w:type="dxa"/>
          </w:tcPr>
          <w:p>
            <w:pPr>
              <w:spacing w:after="0"/>
              <w:rPr>
                <w:sz w:val="28"/>
                <w:rFonts w:ascii="Times New Roman" w:hAnsi="Times New Roman"/>
              </w:rPr>
            </w:pPr>
          </w:p>
        </w:tc>
        <w:tc>
          <w:tcPr>
            <w:tcW w:w="4880" w:type="dxa"/>
          </w:tcPr>
          <w:p>
            <w:pPr>
              <w:jc w:val="both"/>
              <w:spacing w:after="0"/>
              <w:rPr>
                <w:sz w:val="28"/>
                <w:rFonts w:ascii="Times New Roman" w:hAnsi="Times New Roman"/>
              </w:rPr>
            </w:pPr>
          </w:p>
        </w:tc>
      </w:tr>
    </w:tbl>
    <w:p>
      <w:pPr>
        <w:pStyle w:val="ConsPlusNonformat"/>
        <w:jc w:val="center"/>
        <w:spacing w:line="276" w:lineRule="auto"/>
        <w:rPr>
          <w:b/>
          <w:sz w:val="28"/>
          <w:rFonts w:ascii="Times New Roman" w:hAnsi="Times New Roman"/>
        </w:rPr>
      </w:pPr>
      <w:r>
        <w:rPr>
          <w:b/>
          <w:sz w:val="28"/>
          <w:rFonts w:ascii="Times New Roman" w:hAnsi="Times New Roman"/>
        </w:rPr>
        <w:t>ARIZA</w:t>
      </w:r>
    </w:p>
    <w:p>
      <w:pPr>
        <w:pStyle w:val="ConsPlusNonformat"/>
        <w:jc w:val="center"/>
        <w:spacing w:line="276" w:lineRule="auto"/>
        <w:rPr>
          <w:sz w:val="28"/>
          <w:rFonts w:ascii="Times New Roman" w:hAnsi="Times New Roman"/>
        </w:rPr>
      </w:pPr>
      <w:r>
        <w:rPr>
          <w:sz w:val="28"/>
          <w:rFonts w:ascii="Times New Roman" w:hAnsi="Times New Roman"/>
        </w:rPr>
        <w:t xml:space="preserve">(Aliment undirish haqidagi sud buyrug‘ini bekor qilish haqida)</w:t>
      </w:r>
    </w:p>
    <w:p>
      <w:pPr>
        <w:pStyle w:val="ConsPlusNonformat"/>
        <w:jc w:val="both"/>
        <w:spacing w:line="276" w:lineRule="auto"/>
        <w:rPr>
          <w:sz w:val="28"/>
          <w:rFonts w:ascii="Times New Roman" w:hAnsi="Times New Roman"/>
        </w:rPr>
      </w:pPr>
    </w:p>
    <w:p>
      <w:pPr>
        <w:pStyle w:val="ConsPlusNonformat"/>
        <w:jc w:val="both"/>
        <w:spacing w:line="276" w:lineRule="auto"/>
        <w:rPr>
          <w:sz w:val="28"/>
          <w:rFonts w:ascii="Times New Roman" w:hAnsi="Times New Roman"/>
        </w:rPr>
      </w:pPr>
      <w:r>
        <w:rPr>
          <w:sz w:val="28"/>
          <w:rFonts w:ascii="Times New Roman" w:hAnsi="Times New Roman"/>
        </w:rPr>
        <w:tab/>
        <w:t xml:space="preserve"> Fuqarolik ishlari bo‘yicha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Sud buyrug‘i qabul qilgan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Sud buyrug‘i qabul qilingan sana</w:t>
        <w:fldChar w:fldCharType="end"/>
      </w:r>
      <w:r>
        <w:rPr>
          <w:sz w:val="28"/>
          <w:rFonts w:ascii="Times New Roman" w:hAnsi="Times New Roman"/>
        </w:rPr>
        <w:t xml:space="preserve">dagi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Qabul qilingan sud buyrug‘ining raqami</w:t>
        <w:fldChar w:fldCharType="end"/>
      </w:r>
      <w:r>
        <w:rPr>
          <w:sz w:val="28"/>
          <w:rFonts w:ascii="Times New Roman" w:hAnsi="Times New Roman"/>
        </w:rPr>
        <w:t xml:space="preserve">-sonli sud buyrug‘iga asosan mendan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Qabul qilingan sud buyrug‘ining raqami</w:t>
        <w:fldChar w:fldCharType="end"/>
      </w:r>
      <w:r>
        <w:rPr>
          <w:sz w:val="28"/>
          <w:rFonts w:ascii="Times New Roman" w:hAnsi="Times New Roman"/>
        </w:rPr>
        <w:t xml:space="preserve"> da tug‘ilgan voyaga yetmagan </w:t>
      </w:r>
      <w:r>
        <w:rPr>
          <w:vanish w:val="false"/>
          <w:sz w:val="28"/>
          <w:rFonts w:ascii="Times New Roman" w:hAnsi="Times New Roman"/>
        </w:rPr>
        <w:fldChar w:fldCharType="begin"/>
        <w:instrText xml:space="preserve">X {"Y":13}</w:instrText>
        <w:fldChar w:fldCharType="separate"/>
        <w:t xml:space="preserve">Sud buyrug‘iga asosan foydasiga moddiy ta’minot undirish belgilangan bolaning  tug‘ulgan sanasi</w:t>
      </w:r>
      <w:r>
        <w:rPr>
          <w:vanish w:val="false"/>
        </w:rPr>
        <w:fldChar w:fldCharType="end"/>
      </w:r>
      <w:r>
        <w:rPr>
          <w:sz w:val="28"/>
          <w:rFonts w:ascii="Times New Roman" w:hAnsi="Times New Roman"/>
        </w:rPr>
        <w:t xml:space="preserve"> ismli bolaning moddiy ta’minoti uchun aliment undirish belgilanib, </w:t>
      </w:r>
      <w:r>
        <w:rPr>
          <w:vanish w:val="false"/>
          <w:sz w:val="28"/>
          <w:rFonts w:ascii="Times New Roman" w:hAnsi="Times New Roman"/>
        </w:rPr>
        <w:fldChar w:fldCharType="begin"/>
        <w:instrText xml:space="preserve">X {"Y":14}</w:instrText>
        <w:fldChar w:fldCharType="separate"/>
        <w:t xml:space="preserve">Sud buyrug‘iga asosan foydasiga moddiy ta’minot undirish belgilangan bolaning  F.I.Sh.si</w:t>
      </w:r>
      <w:r>
        <w:rPr>
          <w:vanish w:val="false"/>
        </w:rPr>
        <w:fldChar w:fldCharType="end"/>
      </w:r>
      <w:r>
        <w:rPr>
          <w:sz w:val="28"/>
          <w:rFonts w:ascii="Times New Roman" w:hAnsi="Times New Roman"/>
        </w:rPr>
        <w:t xml:space="preserve">ning arizasi qanoatlantirilgan. Men ushbu sud buyrug‘i qabul qilingan sud jarayonida qatnashmaganman.</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O‘zbekiston Respublikasi Fuqarolik protsessual kodeksining 170-moddasiga ko‘ra, sud buyrug‘i nizosiz talablar bo‘yicha sud muhokamasi o‘tkazmasdan beriladigan sud hujjatidir. </w:t>
      </w:r>
    </w:p>
    <w:p>
      <w:pPr>
        <w:pStyle w:val="ConsPlusNonformat"/>
        <w:jc w:val="both"/>
        <w:ind w:firstLine="709"/>
        <w:spacing w:line="276" w:lineRule="auto"/>
        <w:tabs>
          <w:tab w:val="left" w:pos="5670"/>
        </w:tabs>
        <w:rPr>
          <w:sz w:val="28"/>
          <w:rFonts w:ascii="Times New Roman" w:hAnsi="Times New Roman"/>
        </w:rPr>
      </w:pPr>
      <w:r>
        <w:rPr>
          <w:sz w:val="28"/>
          <w:rFonts w:ascii="Times New Roman" w:hAnsi="Times New Roman"/>
        </w:rPr>
        <w:t xml:space="preserve">Men va sud buyrug‘i qabul qilinishida arizachi sifatida qatnashgan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Sud buyrug‘iga asosan foydasiga moddiy ta’minot undirish belgilangan bolaning  F.I.Sh.si</w:t>
        <w:fldChar w:fldCharType="end"/>
      </w:r>
      <w:r>
        <w:rPr>
          <w:sz w:val="28"/>
          <w:rFonts w:ascii="Times New Roman" w:hAnsi="Times New Roman"/>
        </w:rPr>
        <w:t xml:space="preserve"> o‘rtamizda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Qabul qilingan sud buyrug‘ining raqami</w:t>
        <w:fldChar w:fldCharType="end"/>
      </w:r>
      <w:r>
        <w:rPr>
          <w:sz w:val="28"/>
          <w:rFonts w:ascii="Times New Roman" w:hAnsi="Times New Roman"/>
        </w:rPr>
        <w:t xml:space="preserve">da tug‘ilgan voyaga yetmagan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Sud buyrug‘iga asosan foydasiga moddiy ta’minot undirish belgilangan bolaning  tug‘ulgan sanasi</w:t>
        <w:fldChar w:fldCharType="end"/>
      </w:r>
      <w:r>
        <w:rPr>
          <w:sz w:val="28"/>
          <w:rFonts w:ascii="Times New Roman" w:hAnsi="Times New Roman"/>
        </w:rPr>
        <w:t xml:space="preserve">ga otalikni belgilash masalasida nizo mavjud. Men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Sud buyrug‘iga asosan foydasiga moddiy ta’minot undirish belgilangan bolaning  tug‘ulgan sanasi</w:t>
        <w:fldChar w:fldCharType="end"/>
      </w:r>
      <w:r>
        <w:rPr>
          <w:sz w:val="28"/>
          <w:rFonts w:ascii="Times New Roman" w:hAnsi="Times New Roman"/>
        </w:rPr>
        <w:t xml:space="preserve">ni o‘z farzandim deb bilmayman.</w:t>
      </w:r>
    </w:p>
    <w:p>
      <w:pPr>
        <w:pStyle w:val="ConsPlusNonformat"/>
        <w:jc w:val="both"/>
        <w:ind w:firstLine="709"/>
        <w:spacing w:line="276" w:lineRule="auto"/>
        <w:tabs>
          <w:tab w:val="left" w:pos="5670"/>
        </w:tabs>
        <w:rPr>
          <w:sz w:val="28"/>
          <w:rFonts w:ascii="Times New Roman" w:hAnsi="Times New Roman"/>
        </w:rPr>
      </w:pPr>
      <w:r>
        <w:rPr>
          <w:sz w:val="28"/>
          <w:rFonts w:ascii="Times New Roman" w:hAnsi="Times New Roman"/>
        </w:rPr>
        <w:t xml:space="preserve">  Fuqarolik protsessual kodeksining 181-moddasiga ko‘ra, qarzdor arz qilingan talabga qarshi e’tirozlarini buyruqni bergan sudga beradi. Aliment undirish to‘g‘risidagi sud buyrug‘i ijro ishini yuritish bo‘yicha undiruv tugaguniga qadar undiruvchining arizasiga ko‘ra bekor qilinishi mumkin. Bunday holda sud’ya sud buyrug‘ini bekor qilib, bu haqida ajrim chiqaradi.</w:t>
      </w:r>
    </w:p>
    <w:p>
      <w:pPr>
        <w:pStyle w:val="ConsPlusNonformat"/>
        <w:jc w:val="both"/>
        <w:ind w:firstLine="709"/>
        <w:spacing w:line="276" w:lineRule="auto"/>
        <w:tabs>
          <w:tab w:val="left" w:pos="5670"/>
        </w:tabs>
        <w:rPr>
          <w:sz w:val="28"/>
          <w:rFonts w:ascii="Times New Roman" w:hAnsi="Times New Roman"/>
        </w:rPr>
      </w:pPr>
      <w:r>
        <w:rPr>
          <w:sz w:val="28"/>
          <w:rFonts w:ascii="Times New Roman" w:hAnsi="Times New Roman"/>
        </w:rPr>
        <w:t xml:space="preserve"> Yuqoridagilarga ko‘ra, O‘zbekiston Respublikasi Fuqarolik protsessual  Kodeksining 3, 4, 170, 181, 189-moddalariga asosan </w:t>
      </w:r>
    </w:p>
    <w:p>
      <w:pPr>
        <w:pStyle w:val="ConsPlusNonformat"/>
        <w:jc w:val="both"/>
        <w:spacing w:line="276" w:lineRule="auto"/>
        <w:rPr>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spacing w:line="276" w:lineRule="auto"/>
        <w:rPr>
          <w:sz w:val="28"/>
          <w:rFonts w:ascii="Times New Roman" w:hAnsi="Times New Roman"/>
        </w:rPr>
      </w:pPr>
    </w:p>
    <w:p>
      <w:pPr>
        <w:pStyle w:val="ConsPlusNonformat"/>
        <w:jc w:val="both"/>
        <w:spacing w:line="276" w:lineRule="auto"/>
        <w:rPr>
          <w:sz w:val="28"/>
          <w:rFonts w:ascii="Times New Roman" w:hAnsi="Times New Roman"/>
        </w:rPr>
      </w:pPr>
      <w:r>
        <w:rPr>
          <w:sz w:val="28"/>
          <w:rFonts w:ascii="Times New Roman" w:hAnsi="Times New Roman"/>
        </w:rPr>
        <w:t xml:space="preserve"> </w:t>
        <w:tab/>
        <w:t xml:space="preserve">Fuqarolik ishlari bo‘yicha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Sud buyrug‘i qabul qilgan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Sud buyrug‘i qabul qilgan sud nomi</w:t>
        <w:fldChar w:fldCharType="end"/>
      </w:r>
      <w:r>
        <w:rPr>
          <w:sz w:val="28"/>
          <w:rFonts w:ascii="Times New Roman" w:hAnsi="Times New Roman"/>
        </w:rPr>
        <w:t xml:space="preserve">dagi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Sud buyrug‘iga asosan foydasiga moddiy ta’minot undirish belgilangan bolaning  F.I.Sh.si</w:t>
        <w:fldChar w:fldCharType="end"/>
      </w:r>
      <w:r>
        <w:rPr>
          <w:sz w:val="28"/>
          <w:rFonts w:ascii="Times New Roman" w:hAnsi="Times New Roman"/>
        </w:rPr>
        <w:t xml:space="preserve"> foydasiga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Qabul qilingan sud buyrug‘ining raqami</w:t>
        <w:fldChar w:fldCharType="end"/>
      </w:r>
      <w:r>
        <w:rPr>
          <w:sz w:val="28"/>
          <w:rFonts w:ascii="Times New Roman" w:hAnsi="Times New Roman"/>
        </w:rPr>
        <w:t xml:space="preserve">da tug‘ilgan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Sud buyrug‘iga asosan foydasiga moddiy ta’minot undirish belgilangan bolaning  tug‘ulgan sanasi</w:t>
        <w:fldChar w:fldCharType="end"/>
      </w:r>
      <w:r>
        <w:rPr>
          <w:sz w:val="28"/>
          <w:rFonts w:ascii="Times New Roman" w:hAnsi="Times New Roman"/>
        </w:rPr>
        <w:t xml:space="preserve"> ismli bolaning moddiy ta’minoti uchun aliment undirish haqidagi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Sud buyrug‘i qabul qilingan sana</w:t>
        <w:fldChar w:fldCharType="end"/>
      </w:r>
      <w:r>
        <w:rPr>
          <w:sz w:val="28"/>
          <w:rFonts w:ascii="Times New Roman" w:hAnsi="Times New Roman"/>
        </w:rPr>
        <w:t xml:space="preserve">- sonli sud buyrug‘ini bekor qilishingizni. </w:t>
      </w:r>
    </w:p>
    <w:p>
      <w:pPr>
        <w:pStyle w:val="ConsPlusNonformat"/>
        <w:jc w:val="both"/>
        <w:spacing w:line="276" w:lineRule="auto"/>
        <w:rPr>
          <w:sz w:val="28"/>
          <w:rFonts w:ascii="Times New Roman" w:hAnsi="Times New Roman"/>
        </w:rPr>
      </w:pPr>
    </w:p>
    <w:p>
      <w:pPr>
        <w:pStyle w:val="ConsPlusNonformat"/>
        <w:jc w:val="both"/>
        <w:spacing w:line="276" w:lineRule="auto"/>
        <w:rPr>
          <w:b/>
          <w:sz w:val="28"/>
          <w:rFonts w:ascii="Times New Roman" w:hAnsi="Times New Roman"/>
        </w:rPr>
      </w:pPr>
      <w:r>
        <w:rPr>
          <w:b/>
          <w:sz w:val="28"/>
          <w:rFonts w:ascii="Times New Roman" w:hAnsi="Times New Roman"/>
        </w:rPr>
        <w:t xml:space="preserve">          Ilova:</w:t>
      </w:r>
    </w:p>
    <w:p>
      <w:pPr>
        <w:pStyle w:val="ConsPlusNonformat"/>
        <w:jc w:val="both"/>
        <w:spacing w:line="276" w:lineRule="auto"/>
        <w:rPr>
          <w:sz w:val="28"/>
          <w:rFonts w:ascii="Times New Roman" w:hAnsi="Times New Roman"/>
        </w:rPr>
      </w:pPr>
      <w:r>
        <w:rPr>
          <w:sz w:val="28"/>
          <w:rFonts w:ascii="Times New Roman" w:hAnsi="Times New Roman"/>
        </w:rPr>
        <w:t xml:space="preserve">    1. Sud buyrug‘i nusxasi.</w:t>
      </w:r>
    </w:p>
    <w:p>
      <w:pPr>
        <w:pStyle w:val="ConsPlusNonformat"/>
        <w:jc w:val="both"/>
        <w:spacing w:line="276" w:lineRule="auto"/>
        <w:rPr>
          <w:sz w:val="28"/>
          <w:rFonts w:ascii="Times New Roman" w:hAnsi="Times New Roman"/>
        </w:rPr>
      </w:pPr>
      <w:r>
        <w:rPr>
          <w:sz w:val="28"/>
          <w:rFonts w:ascii="Times New Roman" w:hAnsi="Times New Roman"/>
        </w:rPr>
        <w:t xml:space="preserve">    2. Arizamni asoslovchi hujjatlar.    </w:t>
      </w:r>
    </w:p>
    <w:p>
      <w:pPr>
        <w:pStyle w:val="ConsPlusNonformat"/>
        <w:jc w:val="both"/>
        <w:spacing w:line="276" w:lineRule="auto"/>
        <w:rPr>
          <w:sz w:val="28"/>
          <w:rFonts w:ascii="Times New Roman" w:hAnsi="Times New Roman"/>
        </w:rPr>
      </w:pPr>
    </w:p>
    <w:p>
      <w:pPr>
        <w:pStyle w:val="ConsPlusNonformat"/>
        <w:jc w:val="both"/>
        <w:spacing w:line="276" w:lineRule="auto"/>
        <w:rPr>
          <w:i/>
          <w:sz w:val="28"/>
          <w:rFonts w:ascii="Times New Roman" w:hAnsi="Times New Roman"/>
        </w:rPr>
      </w:pPr>
      <w:r>
        <w:rPr>
          <w:b/>
          <w:sz w:val="28"/>
          <w:rFonts w:ascii="Times New Roman" w:hAnsi="Times New Roman"/>
        </w:rPr>
        <w:t xml:space="preserve">Da’vogar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Arizachining F.I.O.si</w:t>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rPr>
          <w:b/>
          <w:sz w:val="28"/>
          <w:rFonts w:ascii="Times New Roman" w:hAnsi="Times New Roman"/>
        </w:rPr>
      </w:pPr>
    </w:p>
    <w:p>
      <w:pPr>
        <w:pStyle w:val="ConsPlusNonformat"/>
        <w:jc w:val="both"/>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           </w:t>
        <w:fldChar w:fldCharType="end"/>
      </w:r>
      <w:r>
        <w:rPr>
          <w:b/>
          <w:sz w:val="28"/>
          <w:rFonts w:ascii="Times New Roman" w:hAnsi="Times New Roman"/>
        </w:rPr>
        <w:t xml:space="preserve">           </w:t>
      </w:r>
    </w:p>
    <w:p>
      <w:pPr>
        <w:pStyle w:val="ConsPlusNonformat"/>
        <w:jc w:val="both"/>
        <w:rPr>
          <w:b/>
          <w:sz w:val="28"/>
          <w:rFonts w:ascii="Times New Roman" w:hAnsi="Times New Roman"/>
        </w:rPr>
      </w:pP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6C0" w:rsidRDefault="006D56C0">
      <w:r>
        <w:separator/>
      </w:r>
    </w:p>
  </w:endnote>
  <w:endnote w:type="continuationSeparator" w:id="0">
    <w:p w:rsidR="006D56C0" w:rsidRDefault="006D5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6C0" w:rsidRDefault="006D56C0">
      <w:r>
        <w:separator/>
      </w:r>
    </w:p>
  </w:footnote>
  <w:footnote w:type="continuationSeparator" w:id="0">
    <w:p w:rsidR="006D56C0" w:rsidRDefault="006D56C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05F"/>
    <w:rsid w:val="00000BE2"/>
    <w:rsid w:val="000033BA"/>
    <w:rsid w:val="00004C35"/>
    <w:rsid w:val="00014439"/>
    <w:rsid w:val="00041A43"/>
    <w:rsid w:val="00042A12"/>
    <w:rsid w:val="0005060E"/>
    <w:rsid w:val="000663E3"/>
    <w:rsid w:val="00080DE0"/>
    <w:rsid w:val="000B4098"/>
    <w:rsid w:val="00117F81"/>
    <w:rsid w:val="0012653D"/>
    <w:rsid w:val="00171928"/>
    <w:rsid w:val="00184354"/>
    <w:rsid w:val="00184E7C"/>
    <w:rsid w:val="00187BDF"/>
    <w:rsid w:val="001A33E4"/>
    <w:rsid w:val="001A5841"/>
    <w:rsid w:val="001C39E0"/>
    <w:rsid w:val="00203846"/>
    <w:rsid w:val="0020505A"/>
    <w:rsid w:val="00205E63"/>
    <w:rsid w:val="00221DA1"/>
    <w:rsid w:val="00230E31"/>
    <w:rsid w:val="00235B3D"/>
    <w:rsid w:val="00261CC6"/>
    <w:rsid w:val="002620E9"/>
    <w:rsid w:val="002801D6"/>
    <w:rsid w:val="00285627"/>
    <w:rsid w:val="00296A44"/>
    <w:rsid w:val="00297F23"/>
    <w:rsid w:val="002D327E"/>
    <w:rsid w:val="002E525B"/>
    <w:rsid w:val="00304A78"/>
    <w:rsid w:val="00312F66"/>
    <w:rsid w:val="003227F3"/>
    <w:rsid w:val="00330F67"/>
    <w:rsid w:val="00333B85"/>
    <w:rsid w:val="00334BA5"/>
    <w:rsid w:val="00350634"/>
    <w:rsid w:val="0036184B"/>
    <w:rsid w:val="003705D0"/>
    <w:rsid w:val="00370C20"/>
    <w:rsid w:val="00391B6F"/>
    <w:rsid w:val="003A7979"/>
    <w:rsid w:val="003B5F19"/>
    <w:rsid w:val="003B6D43"/>
    <w:rsid w:val="003B708C"/>
    <w:rsid w:val="003D1AAE"/>
    <w:rsid w:val="003E61C0"/>
    <w:rsid w:val="00422CE7"/>
    <w:rsid w:val="00431D54"/>
    <w:rsid w:val="00435757"/>
    <w:rsid w:val="00490D54"/>
    <w:rsid w:val="004E1A21"/>
    <w:rsid w:val="004F2F18"/>
    <w:rsid w:val="004F7EFB"/>
    <w:rsid w:val="00526CC0"/>
    <w:rsid w:val="00531F6C"/>
    <w:rsid w:val="00532436"/>
    <w:rsid w:val="00543E69"/>
    <w:rsid w:val="00575E55"/>
    <w:rsid w:val="00585807"/>
    <w:rsid w:val="0058732A"/>
    <w:rsid w:val="00596A3D"/>
    <w:rsid w:val="005D1CA9"/>
    <w:rsid w:val="005D7714"/>
    <w:rsid w:val="00600C10"/>
    <w:rsid w:val="00610C32"/>
    <w:rsid w:val="00637E47"/>
    <w:rsid w:val="006C3BF5"/>
    <w:rsid w:val="006D55B1"/>
    <w:rsid w:val="006D56C0"/>
    <w:rsid w:val="006E7512"/>
    <w:rsid w:val="006F7FFE"/>
    <w:rsid w:val="0070336D"/>
    <w:rsid w:val="00703731"/>
    <w:rsid w:val="00733DC8"/>
    <w:rsid w:val="00774C86"/>
    <w:rsid w:val="00775E19"/>
    <w:rsid w:val="00782712"/>
    <w:rsid w:val="00796019"/>
    <w:rsid w:val="007C2F0C"/>
    <w:rsid w:val="007C468C"/>
    <w:rsid w:val="007E5848"/>
    <w:rsid w:val="007E5FBC"/>
    <w:rsid w:val="007F6357"/>
    <w:rsid w:val="008120D2"/>
    <w:rsid w:val="0084495C"/>
    <w:rsid w:val="00844F31"/>
    <w:rsid w:val="00857EAD"/>
    <w:rsid w:val="00894E62"/>
    <w:rsid w:val="00894E6B"/>
    <w:rsid w:val="008A7D3D"/>
    <w:rsid w:val="008D48BC"/>
    <w:rsid w:val="008E2A99"/>
    <w:rsid w:val="00915BBD"/>
    <w:rsid w:val="00922DA4"/>
    <w:rsid w:val="0093134E"/>
    <w:rsid w:val="00940E8A"/>
    <w:rsid w:val="00943623"/>
    <w:rsid w:val="0096361F"/>
    <w:rsid w:val="00964462"/>
    <w:rsid w:val="00964B82"/>
    <w:rsid w:val="009654E4"/>
    <w:rsid w:val="00966B9F"/>
    <w:rsid w:val="009726ED"/>
    <w:rsid w:val="00983688"/>
    <w:rsid w:val="009B46C4"/>
    <w:rsid w:val="009C5CD4"/>
    <w:rsid w:val="009E6981"/>
    <w:rsid w:val="00A35675"/>
    <w:rsid w:val="00A40EA7"/>
    <w:rsid w:val="00A460F5"/>
    <w:rsid w:val="00A5041C"/>
    <w:rsid w:val="00A5223F"/>
    <w:rsid w:val="00A53682"/>
    <w:rsid w:val="00A712CE"/>
    <w:rsid w:val="00A95358"/>
    <w:rsid w:val="00AB5493"/>
    <w:rsid w:val="00AB5875"/>
    <w:rsid w:val="00AD1E02"/>
    <w:rsid w:val="00AD7E23"/>
    <w:rsid w:val="00AF3467"/>
    <w:rsid w:val="00B00C4E"/>
    <w:rsid w:val="00B11BD5"/>
    <w:rsid w:val="00B55D81"/>
    <w:rsid w:val="00B81E27"/>
    <w:rsid w:val="00BA2D23"/>
    <w:rsid w:val="00BB0D7D"/>
    <w:rsid w:val="00BB1E8F"/>
    <w:rsid w:val="00BD4310"/>
    <w:rsid w:val="00BE6421"/>
    <w:rsid w:val="00CB4578"/>
    <w:rsid w:val="00D0122C"/>
    <w:rsid w:val="00D31C8F"/>
    <w:rsid w:val="00D3224D"/>
    <w:rsid w:val="00D70EEC"/>
    <w:rsid w:val="00D8066F"/>
    <w:rsid w:val="00D95FA3"/>
    <w:rsid w:val="00DA6078"/>
    <w:rsid w:val="00DB31D8"/>
    <w:rsid w:val="00DD1389"/>
    <w:rsid w:val="00DE5F79"/>
    <w:rsid w:val="00DF19FC"/>
    <w:rsid w:val="00E037C6"/>
    <w:rsid w:val="00E0405F"/>
    <w:rsid w:val="00E0542C"/>
    <w:rsid w:val="00E13294"/>
    <w:rsid w:val="00E219FC"/>
    <w:rsid w:val="00E243EB"/>
    <w:rsid w:val="00E25E7E"/>
    <w:rsid w:val="00E7680A"/>
    <w:rsid w:val="00E77034"/>
    <w:rsid w:val="00EB3C3D"/>
    <w:rsid w:val="00EB5F93"/>
    <w:rsid w:val="00EB6DB0"/>
    <w:rsid w:val="00EC0285"/>
    <w:rsid w:val="00EC2006"/>
    <w:rsid w:val="00ED23EB"/>
    <w:rsid w:val="00EF76B0"/>
    <w:rsid w:val="00F0037C"/>
    <w:rsid w:val="00F1360D"/>
    <w:rsid w:val="00F17795"/>
    <w:rsid w:val="00F17A15"/>
    <w:rsid w:val="00F3580C"/>
    <w:rsid w:val="00F377B3"/>
    <w:rsid w:val="00F40673"/>
    <w:rsid w:val="00F7008C"/>
    <w:rsid w:val="00F71C1A"/>
    <w:rsid w:val="00F85C98"/>
    <w:rsid w:val="00FA0A5A"/>
    <w:rsid w:val="00FD6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F8091-297C-4F5C-A26D-E130875E7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E0405F"/>
    <w:pPr>
      <w:widowControl w:val="0"/>
      <w:autoSpaceDE w:val="0"/>
      <w:autoSpaceDN w:val="0"/>
      <w:adjustRightInd w:val="0"/>
    </w:pPr>
    <w:rPr>
      <w:rFonts w:ascii="Courier New" w:eastAsia="Times New Roman" w:hAnsi="Courier New" w:cs="Courier New"/>
    </w:rPr>
  </w:style>
  <w:style w:type="paragraph" w:styleId="a3">
    <w:name w:val="header"/>
    <w:basedOn w:val="a"/>
    <w:rsid w:val="00A5041C"/>
    <w:pPr>
      <w:tabs>
        <w:tab w:val="center" w:pos="4677"/>
        <w:tab w:val="right" w:pos="9355"/>
      </w:tabs>
    </w:pPr>
  </w:style>
  <w:style w:type="paragraph" w:styleId="a4">
    <w:name w:val="footer"/>
    <w:basedOn w:val="a"/>
    <w:link w:val="a5"/>
    <w:rsid w:val="00A5041C"/>
    <w:pPr>
      <w:tabs>
        <w:tab w:val="center" w:pos="4677"/>
        <w:tab w:val="right" w:pos="9355"/>
      </w:tabs>
    </w:pPr>
  </w:style>
  <w:style w:type="character" w:customStyle="1" w:styleId="a5">
    <w:name w:val="Нижний колонтитул Знак"/>
    <w:link w:val="a4"/>
    <w:locked/>
    <w:rsid w:val="00A5041C"/>
    <w:rPr>
      <w:rFonts w:ascii="Calibri" w:eastAsia="Calibri" w:hAnsi="Calibri"/>
      <w:sz w:val="22"/>
      <w:szCs w:val="22"/>
      <w:lang w:val="ru-RU" w:eastAsia="en-US" w:bidi="ar-SA"/>
    </w:rPr>
  </w:style>
  <w:style w:type="character" w:styleId="a6">
    <w:name w:val="Hyperlink"/>
    <w:rsid w:val="00A5041C"/>
    <w:rPr>
      <w:rFonts w:cs="Times New Roman"/>
      <w:color w:val="0000FF"/>
      <w:u w:val="single"/>
    </w:rPr>
  </w:style>
  <w:style w:type="paragraph" w:styleId="a7">
    <w:name w:val="List Paragraph"/>
    <w:basedOn w:val="a"/>
    <w:uiPriority w:val="34"/>
    <w:qFormat/>
    <w:rsid w:val="00EC0285"/>
    <w:pPr>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421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FF908-8BC6-4581-8234-610E3C846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3016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cp:keywords/>
  <cp:lastModifiedBy>Shakarboy G'oyibnazarov</cp:lastModifiedBy>
  <cp:revision>2</cp:revision>
  <dcterms:created xsi:type="dcterms:W3CDTF">2024-02-27T06:18:00Z</dcterms:created>
  <dcterms:modified xsi:type="dcterms:W3CDTF">2024-02-27T06:18:00Z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           </w:name>
    <w:value w:hidden="false">
      <w:unit w:active="false"/>
    </w:value>
  </w:element>
  <w:element w:id="4" w:kind="category" w:selector="check" w:type="string" w:valueMode="normal" w:required="false">
    <w:identifier xml:space="preserve">ID4</w:identifier>
    <w:name xml:space="preserve">Ariza</w:name>
    <w:value w:hidden="true">
      <w:unit w:active="false"/>
    </w:value>
  </w:element>
  <w:element w:id="5" w:kind="variable" w:selector="check" w:type="string" w:valueMode="normal" w:required="false" w:groupID="4">
    <w:identifier xml:space="preserve">ID5</w:identifier>
    <w:name xml:space="preserve">Arizachining yashash manzili</w:name>
    <w:value w:hidden="false">
      <w:unit w:active="false"/>
    </w:value>
  </w:element>
  <w:element w:id="6" w:kind="variable" w:selector="check" w:type="string" w:valueMode="normal" w:required="false" w:groupID="4">
    <w:identifier xml:space="preserve">ID6</w:identifier>
    <w:name xml:space="preserve">Arizachining F.I.O.si</w:name>
    <w:value w:hidden="false">
      <w:unit w:active="false"/>
    </w:value>
  </w:element>
  <w:element w:id="7" w:kind="variable" w:selector="check" w:type="string" w:valueMode="normal" w:required="false" w:groupID="4">
    <w:identifier xml:space="preserve">ID7</w:identifier>
    <w:name xml:space="preserve">Arizachining telefon raqami</w:name>
    <w:value w:hidden="false">
      <w:unit w:active="false"/>
    </w:value>
  </w:element>
  <w:element w:id="8" w:kind="variable" w:selector="check" w:type="string" w:valueMode="normal" w:required="false" w:groupID="4">
    <w:identifier xml:space="preserve">ID8</w:identifier>
    <w:name xml:space="preserve">Arizachining E-mail manzili</w:name>
    <w:value w:hidden="false">
      <w:unit w:active="false"/>
    </w:value>
  </w:element>
  <w:element w:id="9" w:kind="category" w:selector="check" w:type="string" w:valueMode="normal" w:required="false">
    <w:identifier xml:space="preserve">ID9</w:identifier>
    <w:name xml:space="preserve">Ariza mazmuni</w:name>
    <w:value w:hidden="true">
      <w:unit w:active="false"/>
    </w:value>
  </w:element>
  <w:element w:id="10" w:kind="variable" w:selector="check" w:type="string" w:valueMode="normal" w:required="false" w:groupID="9">
    <w:identifier xml:space="preserve">ID10</w:identifier>
    <w:name xml:space="preserve">Sud buyrug‘i qabul qilgan sud nomi</w:name>
    <w:value w:hidden="false">
      <w:unit w:active="false"/>
    </w:value>
  </w:element>
  <w:element w:id="11" w:kind="variable" w:selector="check" w:type="string" w:valueMode="normal" w:required="false" w:groupID="9">
    <w:identifier xml:space="preserve">ID11</w:identifier>
    <w:name xml:space="preserve">Sud buyrug‘i qabul qilingan sana</w:name>
    <w:value w:hidden="false">
      <w:unit w:active="false"/>
    </w:value>
  </w:element>
  <w:element w:id="12" w:kind="variable" w:selector="check" w:type="string" w:valueMode="normal" w:required="false" w:groupID="9">
    <w:identifier xml:space="preserve">ID12</w:identifier>
    <w:name xml:space="preserve">Qabul qilingan sud buyrug‘ining raqami</w:name>
    <w:value w:hidden="false">
      <w:unit w:active="false"/>
    </w:value>
  </w:element>
  <w:element w:id="13" w:kind="variable" w:selector="check" w:type="string" w:valueMode="normal" w:required="false" w:groupID="9">
    <w:identifier xml:space="preserve">ID13</w:identifier>
    <w:name xml:space="preserve">Sud buyrug‘iga asosan foydasiga moddiy ta’minot undirish belgilangan bolaning  tug‘ulgan sanasi</w:name>
    <w:value w:hidden="false">
      <w:unit w:active="false"/>
    </w:value>
  </w:element>
  <w:element w:id="14" w:kind="variable" w:selector="check" w:type="string" w:valueMode="normal" w:required="false" w:groupID="9">
    <w:identifier xml:space="preserve">ID14</w:identifier>
    <w:name xml:space="preserve">Sud buyrug‘iga asosan foydasiga moddiy ta’minot undirish belgilangan bolaning  F.I.Sh.si</w:name>
    <w:value w:hidden="false">
      <w:unit w:active="false"/>
    </w:value>
  </w:element>
</w:structure>
</file>