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23"/>
        <w:gridCol w:w="3754"/>
        <w:gridCol w:w="5494"/>
      </w:tblGrid>
      <w:tr>
        <w:tc>
          <w:tcPr>
            <w:tcW w:w="169" w:type="pct"/>
          </w:tcPr>
          <w:p>
            <w:pPr>
              <w:jc w:val="center"/>
              <w:spacing w:after="0"/>
              <w:rPr>
                <w:sz w:val="28"/>
                <w:rFonts w:ascii="Times New Roman" w:hAnsi="Times New Roman"/>
              </w:rPr>
            </w:pPr>
            <w:r>
              <w:rPr>
                <w:sz w:val="24"/>
                <w:rFonts w:ascii="Times New Roman" w:hAnsi="Times New Roman"/>
              </w:rPr>
            </w:r>
          </w:p>
        </w:tc>
        <w:tc>
          <w:tcPr>
            <w:tcW w:w="1961" w:type="pct"/>
          </w:tcPr>
          <w:p>
            <w:pPr>
              <w:jc w:val="right"/>
              <w:spacing w:line="276" w:lineRule="auto"/>
              <w:rPr>
                <w:color w:val="000000"/>
                <w:sz w:val="28"/>
                <w:rFonts w:ascii="Times New Roman" w:hAnsi="Times New Roman"/>
              </w:rPr>
            </w:pPr>
            <w:r>
              <w:rPr>
                <w:sz w:val="24"/>
              </w:rPr>
            </w:r>
          </w:p>
        </w:tc>
        <w:tc>
          <w:tcPr>
            <w:tcW w:w="2870" w:type="pct"/>
          </w:tcPr>
          <w:p>
            <w:pPr>
              <w:jc w:val="both"/>
              <w:ind w:left="1597"/>
              <w:spacing w:line="276" w:lineRule="auto"/>
              <w:rPr>
                <w:color w:val="000000"/>
                <w:sz w:val="28"/>
                <w:rFonts w:ascii="Times New Roman" w:hAnsi="Times New Roman"/>
              </w:rPr>
            </w:pPr>
            <w:r>
              <w:rPr>
                <w:color w:val="000000"/>
                <w:sz w:val="24"/>
                <w:rFonts w:ascii="Times New Roman" w:hAnsi="Times New Roman"/>
              </w:rPr>
              <w:t xml:space="preserve">Jinoyat ishlari bo‘yicha </w:t>
            </w:r>
            <w:r>
              <w:rPr>
                <w:color w:val="000000"/>
                <w:sz w:val="24"/>
                <w:rFonts w:ascii="Times New Roman" w:hAnsi="Times New Roman"/>
              </w:rPr>
              <w:fldChar w:fldCharType="begin"/>
              <w:instrText xml:space="preserve">X {"Y":2}</w:instrText>
              <w:fldChar w:fldCharType="separate"/>
            </w:r>
            <w:r>
              <w:rPr>
                <w:color w:val="000000"/>
                <w:sz w:val="24"/>
                <w:rFonts w:ascii="Times New Roman" w:hAnsi="Times New Roman"/>
              </w:rPr>
              <w:t xml:space="preserve">Iltimosnoma berilayotgan jinoyat ishlari bo‘yicha sudning nomi</w:t>
              <w:fldChar w:fldCharType="end"/>
            </w:r>
            <w:r>
              <w:rPr>
                <w:color w:val="000000"/>
                <w:sz w:val="24"/>
                <w:rFonts w:ascii="Times New Roman" w:hAnsi="Times New Roman"/>
              </w:rPr>
              <w:t xml:space="preserve"> sudiga</w:t>
            </w:r>
          </w:p>
        </w:tc>
      </w:tr>
      <w:tr>
        <w:tc>
          <w:tcPr>
            <w:tcW w:w="169" w:type="pct"/>
          </w:tcPr>
          <w:p>
            <w:pPr>
              <w:jc w:val="right"/>
              <w:spacing w:line="276" w:lineRule="auto"/>
              <w:rPr>
                <w:color w:val="000000"/>
                <w:sz w:val="28"/>
                <w:rFonts w:ascii="Times New Roman" w:hAnsi="Times New Roman"/>
              </w:rPr>
            </w:pPr>
            <w:r>
              <w:rPr>
                <w:sz w:val="24"/>
              </w:rPr>
            </w:r>
          </w:p>
        </w:tc>
        <w:tc>
          <w:tcPr>
            <w:tcW w:w="1961" w:type="pct"/>
          </w:tcPr>
          <w:p>
            <w:pPr>
              <w:jc w:val="right"/>
              <w:spacing w:line="276" w:lineRule="auto"/>
              <w:rPr>
                <w:color w:val="000000"/>
                <w:sz w:val="28"/>
                <w:rFonts w:ascii="Times New Roman" w:hAnsi="Times New Roman"/>
              </w:rPr>
            </w:pPr>
            <w:r>
              <w:rPr>
                <w:sz w:val="24"/>
              </w:rPr>
            </w:r>
          </w:p>
        </w:tc>
        <w:tc>
          <w:tcPr>
            <w:tcW w:w="2870" w:type="pct"/>
          </w:tcPr>
          <w:p>
            <w:pPr>
              <w:jc w:val="right"/>
              <w:spacing w:line="276" w:lineRule="auto"/>
              <w:rPr>
                <w:color w:val="000000"/>
                <w:sz w:val="28"/>
                <w:rFonts w:ascii="Times New Roman" w:hAnsi="Times New Roman"/>
              </w:rPr>
            </w:pPr>
            <w:r>
              <w:rPr>
                <w:sz w:val="24"/>
              </w:rPr>
            </w:r>
          </w:p>
        </w:tc>
      </w:tr>
      <w:tr>
        <w:tc>
          <w:tcPr>
            <w:tcW w:w="169" w:type="pct"/>
          </w:tcPr>
          <w:p>
            <w:pPr>
              <w:jc w:val="right"/>
              <w:spacing w:line="276" w:lineRule="auto"/>
              <w:rPr>
                <w:color w:val="000000"/>
                <w:sz w:val="28"/>
                <w:rFonts w:ascii="Times New Roman" w:hAnsi="Times New Roman"/>
              </w:rPr>
            </w:pPr>
            <w:r>
              <w:rPr>
                <w:sz w:val="24"/>
              </w:rPr>
            </w:r>
          </w:p>
        </w:tc>
        <w:tc>
          <w:tcPr>
            <w:tcW w:w="1961" w:type="pct"/>
          </w:tcPr>
          <w:p>
            <w:pPr>
              <w:jc w:val="right"/>
              <w:spacing w:line="276" w:lineRule="auto"/>
              <w:rPr>
                <w:color w:val="000000"/>
                <w:sz w:val="28"/>
                <w:rFonts w:ascii="Times New Roman" w:hAnsi="Times New Roman"/>
              </w:rPr>
            </w:pPr>
            <w:r>
              <w:rPr>
                <w:sz w:val="24"/>
              </w:rPr>
            </w:r>
          </w:p>
        </w:tc>
        <w:tc>
          <w:tcPr>
            <w:tcW w:w="2870" w:type="pct"/>
          </w:tcPr>
          <w:p>
            <w:pPr>
              <w:jc w:val="right"/>
              <w:spacing w:line="276" w:lineRule="auto"/>
              <w:rPr>
                <w:color w:val="000000"/>
                <w:sz w:val="28"/>
                <w:rFonts w:ascii="Times New Roman" w:hAnsi="Times New Roman"/>
              </w:rPr>
            </w:pPr>
            <w:r>
              <w:rPr>
                <w:color w:val="000000"/>
                <w:sz w:val="24"/>
                <w:rFonts w:ascii="Times New Roman" w:hAnsi="Times New Roman"/>
              </w:rPr>
              <w:fldChar w:fldCharType="begin"/>
              <w:instrText xml:space="preserve">X {"Y":3}</w:instrText>
              <w:fldChar w:fldCharType="separate"/>
            </w:r>
            <w:r>
              <w:rPr>
                <w:color w:val="000000"/>
                <w:sz w:val="24"/>
                <w:rFonts w:ascii="Times New Roman" w:hAnsi="Times New Roman"/>
              </w:rPr>
              <w:t xml:space="preserve">Iltimosnoma muallifining F.I.Sh.</w:t>
              <w:fldChar w:fldCharType="end"/>
            </w:r>
            <w:r>
              <w:rPr>
                <w:color w:val="000000"/>
                <w:sz w:val="24"/>
                <w:rFonts w:ascii="Times New Roman" w:hAnsi="Times New Roman"/>
              </w:rPr>
              <w:t xml:space="preserve"> dan</w:t>
            </w:r>
          </w:p>
        </w:tc>
      </w:tr>
    </w:tbl>
    <w:p>
      <w:pPr>
        <w:jc w:val="right"/>
        <w:spacing w:after="0"/>
        <w:rPr>
          <w:color w:val="000000"/>
          <w:sz w:val="28"/>
          <w:rFonts w:ascii="Times New Roman" w:hAnsi="Times New Roman"/>
        </w:rPr>
      </w:pPr>
      <w:r>
        <w:rPr>
          <w:b/>
          <w:color w:val="000000"/>
          <w:sz w:val="24"/>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ILTIMOSNOMА </w:t>
      </w:r>
    </w:p>
    <w:p>
      <w:pPr>
        <w:jc w:val="center"/>
        <w:spacing w:after="0"/>
        <w:rPr>
          <w:color w:val="000000"/>
          <w:sz w:val="28"/>
          <w:rFonts w:ascii="Times New Roman" w:hAnsi="Times New Roman"/>
        </w:rPr>
      </w:pPr>
      <w:r>
        <w:rPr>
          <w:color w:val="000000"/>
          <w:sz w:val="28"/>
          <w:rFonts w:ascii="Times New Roman" w:hAnsi="Times New Roman"/>
        </w:rPr>
        <w:t xml:space="preserve">(Sud filologik ekspertiza tayinlash to‘g‘risida)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bo‘yicha sudning nomi</w:t>
        <w:fldChar w:fldCharType="end"/>
      </w:r>
      <w:r>
        <w:rPr>
          <w:color w:val="000000"/>
          <w:sz w:val="28"/>
          <w:rFonts w:ascii="Times New Roman" w:hAnsi="Times New Roman"/>
        </w:rPr>
        <w:t xml:space="preserve"> sudining ish yurituvida </w:t>
      </w:r>
      <w:r>
        <w:rPr>
          <w:color w:val="000000"/>
          <w:sz w:val="28"/>
          <w:rFonts w:ascii="Times New Roman" w:hAnsi="Times New Roman"/>
        </w:rPr>
        <w:fldChar w:fldCharType="begin"/>
        <w:instrText xml:space="preserve">X {"Y":5}</w:instrText>
        <w:fldChar w:fldCharType="separate"/>
      </w:r>
      <w:r>
        <w:rPr>
          <w:color w:val="000000"/>
          <w:sz w:val="28"/>
          <w:rFonts w:ascii="Times New Roman" w:hAnsi="Times New Roman"/>
        </w:rPr>
        <w:t xml:space="preserve">Jinoyat ishi bo‘yicha ayblanuvchi(lar)ning F.I.Sh.</w:t>
        <w:fldChar w:fldCharType="end"/>
      </w:r>
      <w:r>
        <w:rPr>
          <w:color w:val="000000"/>
          <w:sz w:val="28"/>
          <w:rFonts w:ascii="Times New Roman" w:hAnsi="Times New Roman"/>
        </w:rPr>
        <w:t xml:space="preserve">ga nisbatan </w:t>
      </w:r>
      <w:r>
        <w:rPr>
          <w:color w:val="000000"/>
          <w:sz w:val="28"/>
          <w:rFonts w:ascii="Times New Roman" w:hAnsi="Times New Roman"/>
        </w:rPr>
        <w:fldChar w:fldCharType="begin"/>
        <w:instrText xml:space="preserve">X {"Y":6}</w:instrText>
        <w:fldChar w:fldCharType="separate"/>
      </w:r>
      <w:r>
        <w:rPr>
          <w:color w:val="000000"/>
          <w:sz w:val="28"/>
          <w:rFonts w:ascii="Times New Roman" w:hAnsi="Times New Roman"/>
        </w:rPr>
        <w:t xml:space="preserve">Аyblanuvchi(lar)ga nisbatan jinoyat ishi yuritilayotgan modda(lar) raqami </w:t>
        <w:fldChar w:fldCharType="end"/>
      </w:r>
      <w:r>
        <w:rPr>
          <w:color w:val="000000"/>
          <w:sz w:val="28"/>
          <w:rFonts w:ascii="Times New Roman" w:hAnsi="Times New Roman"/>
        </w:rPr>
        <w:t xml:space="preserve"> moddasi bilan jinoyat ishi ko‘rilmoqda.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w:t>
      </w:r>
      <w:r>
        <w:rPr>
          <w:color w:val="000000"/>
          <w:sz w:val="28"/>
          <w:rFonts w:ascii="Times New Roman" w:hAnsi="Times New Roman"/>
        </w:rPr>
        <w:t xml:space="preserve">o‘yicha qonuniy, asosli va adolatli qaror qabul qilish uchun </w:t>
      </w:r>
      <w:r>
        <w:rPr>
          <w:color w:val="000000"/>
          <w:sz w:val="28"/>
          <w:rFonts w:ascii="Times New Roman" w:hAnsi="Times New Roman"/>
        </w:rPr>
        <w:fldChar w:fldCharType="begin"/>
        <w:instrText xml:space="preserve">X {"Y":7}</w:instrText>
        <w:fldChar w:fldCharType="separate"/>
      </w:r>
      <w:r>
        <w:rPr>
          <w:color w:val="000000"/>
          <w:sz w:val="28"/>
          <w:rFonts w:ascii="Times New Roman" w:hAnsi="Times New Roman"/>
        </w:rPr>
        <w:t xml:space="preserve">Sud filologik ekspertiza tayinlash yo‘li bilan aniqlanishi lozim bo‘lgan holatning qisqacha tafsiloti </w:t>
        <w:fldChar w:fldCharType="end"/>
      </w:r>
      <w:r>
        <w:rPr>
          <w:color w:val="000000"/>
          <w:sz w:val="28"/>
          <w:rFonts w:ascii="Times New Roman" w:hAnsi="Times New Roman"/>
        </w:rPr>
        <w:t xml:space="preserve"> holati aniqlanishi lozim. Ushbu holat esa sud filologik ekspertizani o‘tkazish orqali aniqlashtirilishi lozim. Dastlabki tergov davomida filologik ekspertiza o‘tkazilishini qayta-qayta so‘ragan bo‘lsakda, tergov organi tomonidan ushbu turdagi ekspertiza o‘tkazilmadi.</w:t>
      </w:r>
    </w:p>
    <w:p>
      <w:pPr>
        <w:jc w:val="both"/>
        <w:ind w:firstLine="851"/>
        <w:spacing w:after="0"/>
        <w:rPr>
          <w:color w:val="000000"/>
          <w:sz w:val="28"/>
          <w:rFonts w:ascii="Times New Roman" w:hAnsi="Times New Roman"/>
        </w:rPr>
      </w:pPr>
      <w:r>
        <w:rPr>
          <w:color w:val="000000"/>
          <w:sz w:val="28"/>
          <w:rFonts w:ascii="Times New Roman" w:hAnsi="Times New Roman"/>
        </w:rPr>
        <w:t xml:space="preserve">Shu sababli holat aniqlanishi uchun sud filologik ekspertiza tayinlanishi, ekspertiza malakali mutaxasislar tomonidan o‘tkazilishi, ekspert xulosasidan kelib chiqqan holda qonuniy to‘xtamga kelish lozim bo‘ladi.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O‘zbekiston Respublikasi Jinoyat protsessual kodeksining 172-moddasiga ko‘ra, ish uchun ahamiyatli holatlar to‘g‘risidagi maʼlumotlarni fan, texnika, sanʼat yoki kasb sohasi bo‘yicha bilimi bo‘lgan shaxs o‘tkazadigan maxsus tekshirish orqali olish mumkin bo‘lganda ekspertiza tayinlanadi. Tergovga qadar tekshiruvni amalga oshiruvchi organning mansabdor shaxsi, surishtiruvchi, tergovchi, prokuror, sudya, mutaxassislar, xolislarning bunday bilimlarga ega bo‘lishi ekspertiza tayinlash zaruratidan ozod etmaydi.</w:t>
      </w:r>
    </w:p>
    <w:p>
      <w:pPr>
        <w:jc w:val="both"/>
        <w:ind w:firstLine="709"/>
        <w:spacing w:after="0"/>
        <w:rPr>
          <w:color w:val="000000"/>
          <w:sz w:val="28"/>
          <w:rFonts w:ascii="Times New Roman" w:hAnsi="Times New Roman"/>
        </w:rPr>
      </w:pPr>
      <w:r>
        <w:rPr>
          <w:color w:val="000000"/>
          <w:sz w:val="28"/>
          <w:rFonts w:ascii="Times New Roman" w:hAnsi="Times New Roman"/>
        </w:rPr>
        <w:t xml:space="preserve">Mazkur Kodeksning 180-moddasiga ko‘ra, ekspertiza tayinlash to‘g‘risida sud ajrim chiqaradi. Unda: ekspertiza tayinlash uchun asos bo‘lgan sabablar; ekspertizaga yuborilayotgan ashyoviy, yozma va raqamli dalillar yoki boshqa obyektlar, ularning qachon, qayerda va qaysi holatda topilganligi va olinganligi; ish materiallari bo‘yicha ekspertiza o‘tkazishda esa ekspert xulosasi asoslanishi lozim bo‘lgan maʼlumotlar; ekspert oldiga qo‘yilgan savollar; ekspertiza muassasasining nomi yoki ekspertiza o‘tkazish topshirilgan shaxsning familiyasi ko‘rsatilishi lozim.</w:t>
      </w:r>
    </w:p>
    <w:p>
      <w:pPr>
        <w:jc w:val="both"/>
        <w:ind w:firstLine="709"/>
        <w:spacing w:before="280" w:after="288"/>
        <w:rPr>
          <w:color w:val="000000"/>
          <w:sz w:val="28"/>
          <w:rFonts w:ascii="Times New Roman" w:hAnsi="Times New Roman"/>
        </w:rPr>
      </w:pPr>
      <w:r>
        <w:rPr>
          <w:color w:val="000000"/>
          <w:sz w:val="28"/>
          <w:rFonts w:ascii="Times New Roman" w:hAnsi="Times New Roman"/>
        </w:rPr>
        <w:t xml:space="preserve">Yuqoridagilardan kelib chiqib, O‘zbekiston Respublikasi Jinoyat protsessual kodeksining 95, 172,173, 180-moddalariga asoslanib,</w:t>
      </w:r>
    </w:p>
    <w:p>
      <w:pPr>
        <w:jc w:val="center"/>
        <w:ind w:firstLine="708"/>
        <w:spacing w:after="0"/>
        <w:rPr>
          <w:b/>
          <w:color w:val="000000"/>
          <w:sz w:val="28"/>
          <w:rFonts w:ascii="Times New Roman" w:hAnsi="Times New Roman"/>
        </w:rPr>
      </w:pPr>
      <w:r>
        <w:rPr>
          <w:b/>
          <w:color w:val="000000"/>
          <w:sz w:val="28"/>
          <w:rFonts w:ascii="Times New Roman" w:hAnsi="Times New Roman"/>
        </w:rPr>
        <w:t>SO‘RАYMАN: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sud filologik ekspertiza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bo‘yicha sudning nomi</w:t>
        <w:fldChar w:fldCharType="end"/>
      </w:r>
      <w:r>
        <w:rPr>
          <w:color w:val="000000"/>
          <w:sz w:val="28"/>
          <w:rFonts w:ascii="Times New Roman" w:hAnsi="Times New Roman"/>
        </w:rPr>
        <w:t xml:space="preserve"> sudining ish yurituvidagi </w:t>
      </w:r>
      <w:r>
        <w:rPr>
          <w:color w:val="000000"/>
          <w:sz w:val="28"/>
          <w:rFonts w:ascii="Times New Roman" w:hAnsi="Times New Roman"/>
        </w:rPr>
        <w:fldChar w:fldCharType="begin"/>
        <w:instrText xml:space="preserve">X {"Y":5}</w:instrText>
        <w:fldChar w:fldCharType="separate"/>
      </w:r>
      <w:r>
        <w:rPr>
          <w:color w:val="000000"/>
          <w:sz w:val="28"/>
          <w:rFonts w:ascii="Times New Roman" w:hAnsi="Times New Roman"/>
        </w:rPr>
        <w:t xml:space="preserve">Jinoyat ishi bo‘yicha ayblanuvchi(lar)ning F.I.Sh.</w:t>
        <w:fldChar w:fldCharType="end"/>
      </w:r>
      <w:r>
        <w:rPr>
          <w:color w:val="000000"/>
          <w:sz w:val="28"/>
          <w:rFonts w:ascii="Times New Roman" w:hAnsi="Times New Roman"/>
        </w:rPr>
        <w:t xml:space="preserve">ga nisbatan </w:t>
      </w:r>
      <w:r>
        <w:rPr>
          <w:color w:val="000000"/>
          <w:sz w:val="28"/>
          <w:rFonts w:ascii="Times New Roman" w:hAnsi="Times New Roman"/>
        </w:rPr>
        <w:fldChar w:fldCharType="begin"/>
        <w:instrText xml:space="preserve">X {"Y":6}</w:instrText>
        <w:fldChar w:fldCharType="separate"/>
      </w:r>
      <w:r>
        <w:rPr>
          <w:color w:val="000000"/>
          <w:sz w:val="28"/>
          <w:rFonts w:ascii="Times New Roman" w:hAnsi="Times New Roman"/>
        </w:rPr>
        <w:t xml:space="preserve">Аyblanuvchi(lar)ga nisbatan jinoyat ishi yuritilayotgan modda(lar) raqami </w:t>
        <w:fldChar w:fldCharType="end"/>
      </w:r>
      <w:r>
        <w:rPr>
          <w:color w:val="000000"/>
          <w:sz w:val="28"/>
          <w:rFonts w:ascii="Times New Roman" w:hAnsi="Times New Roman"/>
        </w:rPr>
        <w:t xml:space="preserve"> moddasi bilan yuritilayotgan jinoyat ishi yuzasidan sud filologik ekspertiza tayinlashingizni;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3. Ekspertiza o‘tkazishni malakali ekspertga yuklashingizni.</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p>
            <w:pPr>
              <w:jc w:val="right"/>
              <w:spacing w:line="276" w:lineRule="auto"/>
              <w:rPr>
                <w:color w:val="000000"/>
                <w:sz w:val="28"/>
                <w:rFonts w:ascii="Times New Roman" w:hAnsi="Times New Roman"/>
              </w:rPr>
            </w:pPr>
            <w:r>
              <w:rPr>
                <w:color w:val="000000"/>
                <w:sz w:val="28"/>
                <w:rFonts w:ascii="Times New Roman" w:hAnsi="Times New Roman"/>
              </w:rPr>
              <w:fldChar w:fldCharType="begin"/>
              <w:instrText xml:space="preserve">X {"Y":3}</w:instrText>
              <w:fldChar w:fldCharType="separate"/>
            </w:r>
            <w:r>
              <w:rPr>
                <w:color w:val="000000"/>
                <w:sz w:val="28"/>
                <w:rFonts w:ascii="Times New Roman" w:hAnsi="Times New Roman"/>
              </w:rPr>
              <w:t xml:space="preserve">Iltimosnoma muallifining F.I.Sh.</w:t>
              <w:fldChar w:fldCharType="end"/>
            </w:r>
          </w:p>
        </w:tc>
        <w:tc>
          <w:tcPr>
            <w:tcW w:w="3191" w:type="dxa"/>
          </w:tcPr>
          <w:p>
            <w:pPr>
              <w:jc w:val="both"/>
              <w:rPr>
                <w:color w:val="000000"/>
                <w:sz w:val="28"/>
                <w:rFonts w:ascii="Times New Roman" w:hAnsi="Times New Roman"/>
              </w:rPr>
            </w:pPr>
          </w:p>
          <w:p>
            <w:pPr>
              <w:jc w:val="both"/>
              <w:rPr>
                <w:color w:val="000000"/>
                <w:sz w:val="28"/>
                <w:rFonts w:ascii="Times New Roman" w:hAnsi="Times New Roman"/>
              </w:rPr>
            </w:pPr>
          </w:p>
          <w:p>
            <w:pPr>
              <w:jc w:val="both"/>
              <w:rPr>
                <w:color w:val="000000"/>
                <w:sz w:val="28"/>
                <w:rFonts w:ascii="Times New Roman" w:hAnsi="Times New Roman"/>
              </w:rPr>
            </w:pPr>
          </w:p>
        </w:tc>
      </w:tr>
    </w:tbl>
    <w:p>
      <w:pPr>
        <w:jc w:val="both"/>
        <w:spacing w:after="0"/>
        <w:rPr>
          <w:color w:val="000000"/>
          <w:sz w:val="28"/>
          <w:rFonts w:ascii="Times New Roman" w:hAnsi="Times New Roman"/>
        </w:rPr>
      </w:pPr>
    </w:p>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6C6DE4" w14:textId="77777777" w:rsidR="00694CB8" w:rsidRDefault="00694CB8" w:rsidP="0066070F">
      <w:pPr>
        <w:spacing w:after="0" w:line="240" w:lineRule="auto"/>
      </w:pPr>
      <w:r>
        <w:separator/>
      </w:r>
    </w:p>
  </w:endnote>
  <w:endnote w:type="continuationSeparator" w:id="0">
    <w:p w14:paraId="30627DD7" w14:textId="77777777" w:rsidR="00694CB8" w:rsidRDefault="00694CB8" w:rsidP="00660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9F9CE" w14:textId="77777777" w:rsidR="00694CB8" w:rsidRDefault="00694CB8" w:rsidP="0066070F">
      <w:pPr>
        <w:spacing w:after="0" w:line="240" w:lineRule="auto"/>
      </w:pPr>
      <w:r>
        <w:separator/>
      </w:r>
    </w:p>
  </w:footnote>
  <w:footnote w:type="continuationSeparator" w:id="0">
    <w:p w14:paraId="4784F150" w14:textId="77777777" w:rsidR="00694CB8" w:rsidRDefault="00694CB8" w:rsidP="006607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126651"/>
    <w:rsid w:val="00170E56"/>
    <w:rsid w:val="001F58F4"/>
    <w:rsid w:val="00213A5B"/>
    <w:rsid w:val="00263191"/>
    <w:rsid w:val="00370D20"/>
    <w:rsid w:val="00406D50"/>
    <w:rsid w:val="00411193"/>
    <w:rsid w:val="0045084B"/>
    <w:rsid w:val="00482439"/>
    <w:rsid w:val="004A7E98"/>
    <w:rsid w:val="004E6318"/>
    <w:rsid w:val="00573F1C"/>
    <w:rsid w:val="00582785"/>
    <w:rsid w:val="005A070B"/>
    <w:rsid w:val="00611FFF"/>
    <w:rsid w:val="00641676"/>
    <w:rsid w:val="0065777A"/>
    <w:rsid w:val="0066070F"/>
    <w:rsid w:val="00694CB8"/>
    <w:rsid w:val="006D2867"/>
    <w:rsid w:val="00735B5C"/>
    <w:rsid w:val="007366DF"/>
    <w:rsid w:val="00745E81"/>
    <w:rsid w:val="0075215D"/>
    <w:rsid w:val="00792610"/>
    <w:rsid w:val="007C4520"/>
    <w:rsid w:val="007C4823"/>
    <w:rsid w:val="007E2A31"/>
    <w:rsid w:val="0086519C"/>
    <w:rsid w:val="00895839"/>
    <w:rsid w:val="009543C8"/>
    <w:rsid w:val="00974C46"/>
    <w:rsid w:val="00981631"/>
    <w:rsid w:val="0099420D"/>
    <w:rsid w:val="009D0426"/>
    <w:rsid w:val="009F14AC"/>
    <w:rsid w:val="00A55836"/>
    <w:rsid w:val="00A708DD"/>
    <w:rsid w:val="00A91D33"/>
    <w:rsid w:val="00AA0A9B"/>
    <w:rsid w:val="00AB1DB3"/>
    <w:rsid w:val="00B63C81"/>
    <w:rsid w:val="00BD09DD"/>
    <w:rsid w:val="00BE664C"/>
    <w:rsid w:val="00C24A9C"/>
    <w:rsid w:val="00C468F9"/>
    <w:rsid w:val="00C71D3A"/>
    <w:rsid w:val="00CB2FEC"/>
    <w:rsid w:val="00CC3E0C"/>
    <w:rsid w:val="00D0568F"/>
    <w:rsid w:val="00DD46AC"/>
    <w:rsid w:val="00E13C0C"/>
    <w:rsid w:val="00E3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 w:type="paragraph" w:styleId="a8">
    <w:name w:val="footnote text"/>
    <w:basedOn w:val="a"/>
    <w:link w:val="a9"/>
    <w:uiPriority w:val="99"/>
    <w:semiHidden/>
    <w:unhideWhenUsed/>
    <w:rsid w:val="0066070F"/>
    <w:pPr>
      <w:spacing w:after="0" w:line="240" w:lineRule="auto"/>
    </w:pPr>
    <w:rPr>
      <w:sz w:val="20"/>
      <w:szCs w:val="20"/>
    </w:rPr>
  </w:style>
  <w:style w:type="character" w:customStyle="1" w:styleId="a9">
    <w:name w:val="Текст сноски Знак"/>
    <w:basedOn w:val="a0"/>
    <w:link w:val="a8"/>
    <w:uiPriority w:val="99"/>
    <w:semiHidden/>
    <w:rsid w:val="0066070F"/>
    <w:rPr>
      <w:sz w:val="20"/>
      <w:szCs w:val="20"/>
    </w:rPr>
  </w:style>
  <w:style w:type="character" w:styleId="aa">
    <w:name w:val="footnote reference"/>
    <w:basedOn w:val="a0"/>
    <w:uiPriority w:val="99"/>
    <w:semiHidden/>
    <w:unhideWhenUsed/>
    <w:rsid w:val="006607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E2D35-D598-4BAF-87E7-3AB921307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2</Pages>
  <Words>430</Words>
  <Characters>2451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Ramazon Nasriddinov</cp:lastModifiedBy>
  <cp:revision>34</cp:revision>
  <dcterms:created xsi:type="dcterms:W3CDTF">2022-03-29T14:54:00Z</dcterms:created>
  <dcterms:modified xsi:type="dcterms:W3CDTF">2025-01-06T06:51:00Z</dcterms:modified>
</cp:coreProperties>
</file>

<file path=legal/structure.xml><?xml version="1.0" encoding="utf-8"?>
<w:structure xmlns:w="http://schemas.openxmlformats.org/wordprocessingml/2006/main">
  <w:element w:id="1" w:kind="category" w:type="string" w:valueMode="normal" w:required="false">
    <w:identifier xml:space="preserve">ID1</w:identifier>
    <w:name xml:space="preserve">Аrizaning rekvizitlari</w:name>
    <w:value w:hidden="true">
      <w:unit w:active="false"/>
    </w:value>
  </w:element>
  <w:element w:id="2" w:kind="variable" w:type="string" w:valueMode="normal" w:required="false">
    <w:identifier xml:space="preserve">ID2</w:identifier>
    <w:name xml:space="preserve">Iltimosnoma berilayotgan jinoyat ishlari bo‘yicha sudning nomi</w:name>
    <w:value w:hidden="false">
      <w:unit w:active="false"/>
    </w:value>
  </w:element>
  <w:element w:id="3" w:kind="variable" w:type="string" w:valueMode="normal" w:required="false">
    <w:identifier xml:space="preserve">ID3</w:identifier>
    <w:name xml:space="preserve">Iltimosnoma muallifining F.I.Sh.</w:name>
    <w:value w:hidden="false">
      <w:unit w:active="false"/>
    </w:value>
  </w:element>
  <w:element w:id="4" w:kind="variable" w:type="string" w:valueMode="normal" w:required="false">
    <w:identifier xml:space="preserve">ID4</w:identifier>
    <w:name xml:space="preserve">Iltimosnoma imzolangan sana</w:name>
    <w:value w:hidden="false">
      <w:unit w:active="false"/>
    </w:value>
  </w:element>
  <w:element w:id="5" w:kind="variable" w:type="string" w:valueMode="normal" w:required="false">
    <w:identifier xml:space="preserve">ID5</w:identifier>
    <w:name xml:space="preserve">Jinoyat ishi bo‘yicha ayblanuvchi(lar)ning F.I.Sh.</w:name>
    <w:value w:hidden="false">
      <w:unit w:active="false"/>
    </w:value>
  </w:element>
  <w:element w:id="6" w:kind="variable" w:type="string" w:valueMode="normal" w:required="false">
    <w:identifier xml:space="preserve">ID6</w:identifier>
    <w:name xml:space="preserve">Аyblanuvchi(lar)ga nisbatan jinoyat ishi yuritilayotgan modda(lar) raqami </w:name>
    <w:value w:hidden="false">
      <w:unit w:active="false"/>
    </w:value>
  </w:element>
  <w:element w:id="7" w:kind="variable" w:type="string" w:valueMode="normal" w:required="false">
    <w:identifier xml:space="preserve">ID7</w:identifier>
    <w:name xml:space="preserve">Sud filologik ekspertiza tayinlash yo‘li bilan aniqlanishi lozim bo‘lgan holatning qisqacha tafsiloti </w:name>
    <w:value w:hidden="false">
      <w:unit w:active="false"/>
    </w:value>
  </w:element>
</w:structure>
</file>