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0"/>
        <w:rPr>
          <w:color w:val="000000"/>
          <w:sz w:val="24"/>
          <w:rFonts w:ascii="Times New Roman" w:hAnsi="Times New Roman"/>
        </w:rPr>
      </w:pPr>
      <w:r>
        <w:rPr>
          <w:color w:val="000000"/>
          <w:sz w:val="24"/>
          <w:rFonts w:ascii="Times New Roman" w:hAnsi="Times New Roman"/>
        </w:rPr>
        <w:t xml:space="preserve">                       </w:t>
      </w:r>
    </w:p>
    <w:tbl>
      <w:tblPr>
        <w:tblW w:w="0" w:type="auto"/>
      </w:tblPr>
      <w:tblGrid>
        <w:gridCol w:w="4691"/>
        <w:gridCol w:w="4880"/>
      </w:tblGrid>
      <w:tr>
        <w:tc>
          <w:tcPr>
            <w:tcW w:w="4691" w:type="dxa"/>
            <w:shd w:fill="auto"/>
          </w:tcPr>
          <w:p>
            <w:pPr>
              <w:rPr>
                <w:sz w:val="24"/>
                <w:rFonts w:ascii="Times New Roman" w:hAnsi="Times New Roman"/>
              </w:rPr>
            </w:pPr>
            <w:r>
              <w:rPr>
                <w:color w:val="000000"/>
                <w:sz w:val="24"/>
                <w:rFonts w:ascii="Times New Roman" w:hAnsi="Times New Roman"/>
              </w:rPr>
              <w:t xml:space="preserve">                  </w:t>
            </w:r>
          </w:p>
        </w:tc>
        <w:tc>
          <w:tcPr>
            <w:tcW w:w="4880" w:type="dxa"/>
            <w:shd w:fill="auto"/>
          </w:tcPr>
          <w:p>
            <w:pPr>
              <w:jc w:val="both"/>
              <w:spacing w:line="240" w:lineRule="auto"/>
              <w:rPr>
                <w:b/>
                <w:sz w:val="24"/>
                <w:rFonts w:ascii="Times New Roman" w:hAnsi="Times New Roman"/>
              </w:rPr>
            </w:pPr>
            <w:r>
              <w:rPr>
                <w:b/>
                <w:sz w:val="24"/>
                <w:rFonts w:ascii="Times New Roman" w:hAnsi="Times New Roman"/>
              </w:rPr>
              <w:t xml:space="preserve">Iqtisodiy ishlar boʻyicha </w:t>
            </w:r>
            <w:r>
              <w:rPr>
                <w:b/>
                <w:vanish w:val="false"/>
                <w:sz w:val="24"/>
                <w:rFonts w:ascii="Times New Roman" w:hAnsi="Times New Roman"/>
              </w:rPr>
              <w:fldChar w:fldCharType="begin"/>
              <w:instrText xml:space="preserve">X {"Y":2}</w:instrText>
              <w:fldChar w:fldCharType="separate"/>
              <w:t xml:space="preserve">Iltimosnoma berilgan iqtisodiy sud nomi</w:t>
            </w:r>
            <w:r>
              <w:rPr>
                <w:b/>
                <w:vanish w:val="false"/>
                <w:sz w:val="24"/>
                <w:rFonts w:ascii="Times New Roman" w:hAnsi="Times New Roman"/>
              </w:rPr>
              <w:fldChar w:fldCharType="end"/>
            </w:r>
            <w:r>
              <w:rPr>
                <w:b/>
                <w:sz w:val="24"/>
                <w:rFonts w:ascii="Times New Roman" w:hAnsi="Times New Roman"/>
              </w:rPr>
              <w:t>ga</w:t>
            </w:r>
          </w:p>
        </w:tc>
      </w:tr>
      <w:tr>
        <w:tc>
          <w:tcPr>
            <w:tcW w:w="4691" w:type="dxa"/>
            <w:shd w:fill="auto"/>
          </w:tcPr>
          <w:p>
            <w:pPr>
              <w:rPr>
                <w:sz w:val="24"/>
                <w:rFonts w:ascii="Times New Roman" w:hAnsi="Times New Roman"/>
              </w:rPr>
            </w:pPr>
          </w:p>
        </w:tc>
        <w:tc>
          <w:tcPr>
            <w:tcW w:w="4880" w:type="dxa"/>
            <w:shd w:fill="auto"/>
          </w:tcPr>
          <w:p>
            <w:pPr>
              <w:jc w:val="both"/>
              <w:spacing w:line="240" w:lineRule="auto"/>
              <w:rPr>
                <w:sz w:val="24"/>
                <w:rFonts w:ascii="Times New Roman" w:hAnsi="Times New Roman"/>
              </w:rPr>
            </w:pPr>
            <w:r>
              <w:rPr>
                <w:vanish w:val="false"/>
                <w:sz w:val="24"/>
                <w:rFonts w:ascii="Times New Roman" w:hAnsi="Times New Roman"/>
              </w:rPr>
            </w:r>
          </w:p>
        </w:tc>
      </w:tr>
      <w:tr>
        <w:tc>
          <w:tcPr>
            <w:tcW w:w="4691" w:type="dxa"/>
            <w:shd w:fill="auto"/>
          </w:tcPr>
          <w:p>
            <w:pPr>
              <w:rPr>
                <w:sz w:val="24"/>
                <w:rFonts w:ascii="Times New Roman" w:hAnsi="Times New Roman"/>
              </w:rPr>
            </w:pPr>
            <w:r>
              <w:rPr>
                <w:vanish w:val="false"/>
              </w:rPr>
            </w:r>
          </w:p>
        </w:tc>
        <w:tc>
          <w:tcPr>
            <w:tcW w:w="4880" w:type="dxa"/>
            <w:shd w:fill="auto"/>
          </w:tcPr>
          <w:p>
            <w:pPr>
              <w:jc w:val="both"/>
              <w:spacing w:line="240" w:lineRule="auto"/>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Iltimosnoma beruvchi yuridik shaxs nomi yoki yakka tartibdagi tadbirkor (YATT)ning F.I.Osi</w:t>
            </w:r>
            <w:r>
              <w:rPr>
                <w:vanish w:val="false"/>
                <w:sz w:val="24"/>
                <w:rFonts w:ascii="Times New Roman" w:hAnsi="Times New Roman"/>
              </w:rPr>
              <w:fldChar w:fldCharType="end"/>
            </w:r>
            <w:r>
              <w:rPr>
                <w:vanish w:val="false"/>
                <w:sz w:val="24"/>
                <w:rFonts w:ascii="Times New Roman" w:hAnsi="Times New Roman"/>
              </w:rPr>
              <w:t>dan</w:t>
            </w:r>
          </w:p>
          <w:p>
            <w:pPr>
              <w:jc w:val="both"/>
              <w:spacing w:line="240" w:lineRule="auto"/>
              <w:rPr>
                <w:sz w:val="24"/>
                <w:rFonts w:ascii="Times New Roman" w:hAnsi="Times New Roman"/>
              </w:rPr>
            </w:pPr>
            <w:r>
              <w:rPr>
                <w:vanish w:val="false"/>
              </w:rPr>
              <w:t xml:space="preserve">Manzil: </w:t>
            </w:r>
            <w:r>
              <w:rPr>
                <w:vanish w:val="false"/>
              </w:rPr>
              <w:fldChar w:fldCharType="begin"/>
              <w:instrText xml:space="preserve">X {"Y":5}</w:instrText>
              <w:fldChar w:fldCharType="separate"/>
            </w:r>
            <w:r>
              <w:rPr>
                <w:vanish w:val="false"/>
              </w:rPr>
              <w:t xml:space="preserve">Iltimosnoma beruvchining manzili</w:t>
              <w:fldChar w:fldCharType="end"/>
            </w:r>
          </w:p>
          <w:p>
            <w:r>
              <w:rPr>
                <w:vanish w:val="false"/>
              </w:rPr>
            </w:r>
          </w:p>
        </w:tc>
      </w:tr>
    </w:tbl>
    <w:p>
      <w:pPr>
        <w:pStyle w:val="a0"/>
        <w:jc w:val="center"/>
        <w:spacing w:before="40" w:after="0" w:line="240" w:lineRule="auto"/>
        <w:rPr>
          <w:b/>
          <w:sz w:val="24"/>
          <w:rFonts w:ascii="Times New Roman" w:hAnsi="Times New Roman"/>
        </w:rPr>
      </w:pPr>
      <w:r>
        <w:rPr>
          <w:b/>
          <w:vanish w:val="false"/>
          <w:sz w:val="24"/>
          <w:rFonts w:ascii="Times New Roman" w:hAnsi="Times New Roman"/>
        </w:rPr>
        <w:t>ILTIMOSNOMA</w:t>
      </w:r>
    </w:p>
    <w:p>
      <w:pPr>
        <w:jc w:val="center"/>
        <w:spacing w:after="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color w:val="000000"/>
          <w:sz w:val="24"/>
          <w:rFonts w:ascii="Times New Roman" w:hAnsi="Times New Roman"/>
        </w:rPr>
      </w:pPr>
      <w:r>
        <w:rPr>
          <w:vanish w:val="false"/>
          <w:color w:val="000000"/>
          <w:sz w:val="24"/>
          <w:rFonts w:ascii="Times New Roman" w:hAnsi="Times New Roman"/>
        </w:rPr>
        <w:t xml:space="preserve">Sud majlisini audio-video yozuvga olish toʻgʻrisida</w:t>
      </w:r>
    </w:p>
    <w:p>
      <w:pPr>
        <w:pStyle w:val="a0"/>
        <w:jc w:val="center"/>
        <w:ind w:firstLine="900"/>
        <w:spacing w:before="40" w:after="0"/>
        <w:rPr>
          <w:sz w:val="24"/>
          <w:rFonts w:ascii="Times New Roman" w:hAnsi="Times New Roman"/>
        </w:rPr>
      </w:pPr>
      <w:r>
        <w:rPr>
          <w:vanish w:val="false"/>
        </w:rPr>
      </w:r>
    </w:p>
    <w:p>
      <w:pPr>
        <w:pStyle w:val="a0"/>
        <w:jc w:val="both"/>
        <w:ind w:firstLine="549"/>
        <w:spacing w:after="0"/>
        <w:tabs>
          <w:tab w:val="left" w:pos="3539"/>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rPr>
          <w:sz w:val="24"/>
          <w:rFonts w:ascii="Times New Roman" w:hAnsi="Times New Roman"/>
        </w:rPr>
      </w:pPr>
      <w:r>
        <w:rPr>
          <w:vanish w:val="false"/>
          <w:sz w:val="24"/>
          <w:rFonts w:ascii="Times New Roman" w:hAnsi="Times New Roman"/>
        </w:rPr>
        <w:t xml:space="preserve">Iqtisodiy ishlar boʻyicha </w:t>
      </w:r>
      <w:r>
        <w:rPr>
          <w:vanish w:val="false"/>
          <w:sz w:val="24"/>
          <w:rFonts w:ascii="Times New Roman" w:hAnsi="Times New Roman"/>
        </w:rPr>
        <w:fldChar w:fldCharType="begin"/>
        <w:instrText xml:space="preserve">X {"Y":2}</w:instrText>
        <w:fldChar w:fldCharType="separate"/>
        <w:t xml:space="preserve">Iltimosnoma berilgan iqtisodiy sud nomi</w:t>
      </w:r>
      <w:r>
        <w:rPr>
          <w:vanish w:val="false"/>
          <w:sz w:val="24"/>
          <w:rFonts w:ascii="Times New Roman" w:hAnsi="Times New Roman"/>
        </w:rPr>
        <w:fldChar w:fldCharType="end"/>
      </w:r>
      <w:r>
        <w:rPr>
          <w:vanish w:val="false"/>
          <w:sz w:val="24"/>
          <w:rFonts w:ascii="Times New Roman" w:hAnsi="Times New Roman"/>
        </w:rPr>
        <w:t xml:space="preserve"> sudining ish yurituvida daʼvogar </w:t>
      </w:r>
      <w:r>
        <w:rPr>
          <w:vanish w:val="false"/>
          <w:sz w:val="24"/>
          <w:rFonts w:ascii="Times New Roman" w:hAnsi="Times New Roman"/>
        </w:rPr>
        <w:fldChar w:fldCharType="begin"/>
        <w:instrText xml:space="preserve">X {"Y":9}</w:instrText>
        <w:fldChar w:fldCharType="separate"/>
        <w:t xml:space="preserve">Ish bo‘yicha daʼvogarning nomi va tashkiliy huquqiy shakli</w:t>
      </w:r>
      <w:r>
        <w:rPr>
          <w:vanish w:val="false"/>
          <w:sz w:val="24"/>
          <w:rFonts w:ascii="Times New Roman" w:hAnsi="Times New Roman"/>
        </w:rPr>
        <w:fldChar w:fldCharType="end"/>
      </w:r>
      <w:r>
        <w:rPr>
          <w:vanish w:val="false"/>
          <w:sz w:val="24"/>
          <w:rFonts w:ascii="Times New Roman" w:hAnsi="Times New Roman"/>
        </w:rPr>
        <w:t xml:space="preserve">ning javobgar </w:t>
      </w:r>
      <w:r>
        <w:rPr>
          <w:vanish w:val="false"/>
          <w:sz w:val="24"/>
          <w:rFonts w:ascii="Times New Roman" w:hAnsi="Times New Roman"/>
        </w:rPr>
        <w:fldChar w:fldCharType="begin"/>
        <w:instrText xml:space="preserve">X {"Y":10}</w:instrText>
        <w:fldChar w:fldCharType="separate"/>
        <w:t xml:space="preserve">Ish bo‘yicha javobgarning nomi va tashkiliy huquqiy shakli</w:t>
      </w:r>
      <w:r>
        <w:rPr>
          <w:vanish w:val="false"/>
          <w:sz w:val="24"/>
          <w:rFonts w:ascii="Times New Roman" w:hAnsi="Times New Roman"/>
        </w:rPr>
        <w:fldChar w:fldCharType="end"/>
      </w:r>
      <w:r>
        <w:rPr>
          <w:vanish w:val="false"/>
          <w:sz w:val="24"/>
          <w:rFonts w:ascii="Times New Roman" w:hAnsi="Times New Roman"/>
        </w:rPr>
        <w:t xml:space="preserve">ga nisbatan </w:t>
      </w:r>
      <w:r>
        <w:rPr>
          <w:vanish w:val="false"/>
          <w:sz w:val="24"/>
          <w:rFonts w:ascii="Times New Roman" w:hAnsi="Times New Roman"/>
        </w:rPr>
        <w:fldChar w:fldCharType="begin"/>
        <w:instrText xml:space="preserve">X {"Y":11}</w:instrText>
        <w:fldChar w:fldCharType="separate"/>
        <w:t xml:space="preserve">Daʼvo ariza mazmuni</w:t>
      </w:r>
      <w:r>
        <w:rPr>
          <w:vanish w:val="false"/>
          <w:sz w:val="24"/>
          <w:rFonts w:ascii="Times New Roman" w:hAnsi="Times New Roman"/>
        </w:rPr>
        <w:fldChar w:fldCharType="end"/>
      </w:r>
      <w:r>
        <w:rPr>
          <w:vanish w:val="false"/>
          <w:sz w:val="24"/>
          <w:rFonts w:ascii="Times New Roman" w:hAnsi="Times New Roman"/>
        </w:rPr>
        <w:t xml:space="preserve"> toʻgʻrisidagi daʼvo arizasi yuzasidan yuritilayotgan ish mavjud.</w:t>
      </w:r>
    </w:p>
    <w:p>
      <w:pPr>
        <w:pStyle w:val="a0"/>
        <w:jc w:val="both"/>
        <w:ind w:firstLine="549"/>
        <w:spacing w:after="0"/>
        <w:tabs>
          <w:tab w:val="left" w:pos="3539"/>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rPr>
          <w:sz w:val="24"/>
          <w:rFonts w:ascii="Times New Roman" w:hAnsi="Times New Roman"/>
        </w:rPr>
      </w:pPr>
      <w:r>
        <w:rPr>
          <w:vanish w:val="false"/>
        </w:rPr>
        <w:t xml:space="preserve">O‘zbekiston Respublikasi Iqtisodiy protsessual kodeksining 165-moddasiga ko‘ra, sud tashabbusiga ko‘ra yoki iqtisodiy sud ishlari ishtirokchilarining iltimosnomasiga ko‘ra sud majlisining audio- yoki videoyozuvi amalga oshirilishi mumkin.</w:t>
      </w:r>
    </w:p>
    <w:p>
      <w:pPr>
        <w:pStyle w:val="a0"/>
        <w:jc w:val="both"/>
        <w:ind w:firstLine="549"/>
        <w:spacing w:after="0"/>
        <w:tabs>
          <w:tab w:val="left" w:pos="3539"/>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rPr>
          <w:sz w:val="24"/>
          <w:rFonts w:ascii="Times New Roman" w:hAnsi="Times New Roman"/>
        </w:rPr>
      </w:pPr>
      <w:r>
        <w:rPr>
          <w:vanish w:val="false"/>
        </w:rPr>
        <w:t xml:space="preserve">Iqtisodiy sud ishlarini yuritish ishtirokchilari va sud majlisi zalida hozir bo‘lganlar yozma qaydlar qilish, stenogramma yuritish va ovoz yozib olish huquqiga ega. Sud majlisining fototasviriga, videoyozuviga, shuningdek radio va televideniye orqali translyatsiya qilinishiga ishni ko‘rayotgan sudning ruxsati bilan yo‘l qo‘yiladi.</w:t>
      </w:r>
    </w:p>
    <w:p>
      <w:pPr>
        <w:pStyle w:val="a0"/>
        <w:jc w:val="both"/>
        <w:ind w:firstLine="549"/>
        <w:spacing w:after="0"/>
        <w:tabs>
          <w:tab w:val="left" w:pos="3539"/>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rPr>
          <w:sz w:val="24"/>
          <w:rFonts w:ascii="Times New Roman" w:hAnsi="Times New Roman"/>
        </w:rPr>
      </w:pPr>
      <w:r>
        <w:rPr>
          <w:vanish w:val="false"/>
          <w:color w:val="000000"/>
          <w:sz w:val="24"/>
          <w:rFonts w:ascii="Times New Roman" w:hAnsi="Times New Roman"/>
        </w:rPr>
        <w:t xml:space="preserve">Sud majlisi qonuniy va asosli oʻtkazilishini taʼminlash maqsadida sizdan oʻtkaziladigan sud majlislarini audio-videoyozuvga olish uchun ruxsat berishingizni soʻrayman. </w:t>
      </w:r>
    </w:p>
    <w:p>
      <w:pPr>
        <w:jc w:val="both"/>
        <w:ind w:firstLine="549"/>
        <w:spacing w:after="0"/>
        <w:tabs>
          <w:tab w:val="left" w:pos="3539"/>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rPr>
          <w:color w:val="000000"/>
          <w:sz w:val="24"/>
          <w:rFonts w:ascii="Times New Roman" w:hAnsi="Times New Roman"/>
        </w:rPr>
      </w:pPr>
      <w:r>
        <w:rPr>
          <w:vanish w:val="false"/>
          <w:color w:val="000000"/>
          <w:sz w:val="24"/>
          <w:rFonts w:ascii="Times New Roman" w:hAnsi="Times New Roman"/>
        </w:rPr>
        <w:t xml:space="preserve">Yuqoridagilardan kelib chiqib, Oʻzbekiston Respublikasi Iqtisodiy protsessual kodeksining 165-moddasiga asoslanib,</w:t>
      </w:r>
    </w:p>
    <w:p>
      <w:pPr>
        <w:jc w:val="both"/>
        <w:ind w:firstLine="549"/>
        <w:spacing w:after="0"/>
        <w:tabs>
          <w:tab w:val="left" w:pos="3539"/>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rPr>
          <w:b/>
          <w:color w:val="000000"/>
          <w:sz w:val="24"/>
          <w:rFonts w:ascii="Times New Roman" w:hAnsi="Times New Roman"/>
        </w:rPr>
      </w:pPr>
      <w:r>
        <w:rPr>
          <w:vanish w:val="false"/>
        </w:rPr>
      </w:r>
    </w:p>
    <w:p>
      <w:pPr>
        <w:jc w:val="center"/>
        <w:ind w:firstLine="709"/>
        <w:spacing w:after="0"/>
        <w:tabs>
          <w:tab w:val="left" w:pos="3539"/>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rPr>
          <w:b/>
          <w:color w:val="000000"/>
          <w:sz w:val="24"/>
          <w:rFonts w:ascii="Times New Roman" w:hAnsi="Times New Roman"/>
        </w:rPr>
      </w:pPr>
      <w:r>
        <w:rPr>
          <w:b/>
          <w:vanish w:val="false"/>
          <w:color w:val="000000"/>
          <w:sz w:val="24"/>
          <w:rFonts w:ascii="Times New Roman" w:hAnsi="Times New Roman"/>
        </w:rPr>
        <w:t>SOʻRAYMAN:</w:t>
      </w:r>
    </w:p>
    <w:p>
      <w:pPr>
        <w:pStyle w:val="a0"/>
        <w:jc w:val="both"/>
        <w:ind w:firstLine="900"/>
        <w:spacing w:after="0"/>
        <w:rPr>
          <w:sz w:val="24"/>
          <w:rFonts w:ascii="Times New Roman" w:hAnsi="Times New Roman"/>
        </w:rPr>
      </w:pPr>
      <w:r>
        <w:rPr>
          <w:vanish w:val="false"/>
        </w:rPr>
      </w:r>
    </w:p>
    <w:p>
      <w:pPr>
        <w:jc w:val="both"/>
        <w:ind w:firstLine="549"/>
        <w:spacing w:after="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color w:val="000000"/>
          <w:sz w:val="24"/>
          <w:rFonts w:ascii="Times New Roman" w:hAnsi="Times New Roman"/>
        </w:rPr>
      </w:pPr>
      <w:r>
        <w:rPr>
          <w:vanish w:val="false"/>
          <w:sz w:val="24"/>
          <w:rFonts w:ascii="Times New Roman" w:hAnsi="Times New Roman"/>
        </w:rPr>
        <w:t xml:space="preserve">Daʼvogar </w:t>
      </w:r>
      <w:r>
        <w:rPr>
          <w:vanish w:val="false"/>
          <w:sz w:val="24"/>
          <w:rFonts w:ascii="Times New Roman" w:hAnsi="Times New Roman"/>
        </w:rPr>
        <w:fldChar w:fldCharType="begin"/>
        <w:instrText xml:space="preserve">X {"Y":9}</w:instrText>
        <w:fldChar w:fldCharType="separate"/>
        <w:t xml:space="preserve">Ish bo‘yicha daʼvogarning nomi va tashkiliy huquqiy shakli</w:t>
      </w:r>
      <w:r>
        <w:rPr>
          <w:vanish w:val="false"/>
          <w:sz w:val="24"/>
          <w:rFonts w:ascii="Times New Roman" w:hAnsi="Times New Roman"/>
        </w:rPr>
        <w:fldChar w:fldCharType="end"/>
      </w:r>
      <w:r>
        <w:rPr>
          <w:vanish w:val="false"/>
          <w:sz w:val="24"/>
          <w:rFonts w:ascii="Times New Roman" w:hAnsi="Times New Roman"/>
        </w:rPr>
        <w:t xml:space="preserve">ning javobgar </w:t>
      </w:r>
      <w:r>
        <w:rPr>
          <w:vanish w:val="false"/>
          <w:sz w:val="24"/>
          <w:rFonts w:ascii="Times New Roman" w:hAnsi="Times New Roman"/>
        </w:rPr>
        <w:fldChar w:fldCharType="begin"/>
        <w:instrText xml:space="preserve">X {"Y":10}</w:instrText>
        <w:fldChar w:fldCharType="separate"/>
        <w:t xml:space="preserve">Ish bo‘yicha javobgarning nomi va tashkiliy huquqiy shakli</w:t>
      </w:r>
      <w:r>
        <w:rPr>
          <w:vanish w:val="false"/>
          <w:sz w:val="24"/>
          <w:rFonts w:ascii="Times New Roman" w:hAnsi="Times New Roman"/>
        </w:rPr>
        <w:fldChar w:fldCharType="end"/>
      </w:r>
      <w:r>
        <w:rPr>
          <w:vanish w:val="false"/>
          <w:sz w:val="24"/>
          <w:rFonts w:ascii="Times New Roman" w:hAnsi="Times New Roman"/>
        </w:rPr>
        <w:t xml:space="preserve">ga nisbatan </w:t>
      </w:r>
      <w:r>
        <w:rPr>
          <w:vanish w:val="false"/>
          <w:sz w:val="24"/>
          <w:rFonts w:ascii="Times New Roman" w:hAnsi="Times New Roman"/>
        </w:rPr>
        <w:fldChar w:fldCharType="begin"/>
        <w:instrText xml:space="preserve">X {"Y":11}</w:instrText>
        <w:fldChar w:fldCharType="separate"/>
        <w:t xml:space="preserve">Daʼvo ariza mazmuni</w:t>
      </w:r>
      <w:r>
        <w:rPr>
          <w:vanish w:val="false"/>
          <w:sz w:val="24"/>
          <w:rFonts w:ascii="Times New Roman" w:hAnsi="Times New Roman"/>
        </w:rPr>
        <w:fldChar w:fldCharType="end"/>
      </w:r>
      <w:r>
        <w:rPr>
          <w:vanish w:val="false"/>
          <w:sz w:val="24"/>
          <w:rFonts w:ascii="Times New Roman" w:hAnsi="Times New Roman"/>
        </w:rPr>
        <w:t xml:space="preserve"> toʻgʻrisidagi daʼvo arizasi</w:t>
      </w:r>
      <w:r>
        <w:rPr>
          <w:vanish w:val="false"/>
          <w:color w:val="000000"/>
          <w:sz w:val="24"/>
          <w:rFonts w:ascii="Times New Roman" w:hAnsi="Times New Roman"/>
        </w:rPr>
        <w:t xml:space="preserve"> yuzasidan sud majlislarini audi-videoyozuvga olishga ruxsat berishingizni.</w:t>
      </w:r>
    </w:p>
    <w:p>
      <w:pPr>
        <w:jc w:val="both"/>
        <w:spacing w:before="40" w:after="0" w:line="240" w:lineRule="auto"/>
        <w:rPr>
          <w:b/>
          <w:sz w:val="24"/>
          <w:rFonts w:ascii="Times New Roman" w:hAnsi="Times New Roman"/>
        </w:rPr>
      </w:pPr>
      <w:r>
        <w:rPr>
          <w:vanish w:val="false"/>
        </w:rPr>
      </w:r>
    </w:p>
    <w:p>
      <w:pPr>
        <w:pStyle w:val="a0"/>
        <w:jc w:val="both"/>
        <w:ind w:firstLine="463"/>
        <w:spacing w:before="40" w:after="0" w:line="240" w:lineRule="auto"/>
        <w:rPr>
          <w:b/>
          <w:sz w:val="24"/>
          <w:rFonts w:ascii="Times New Roman" w:hAnsi="Times New Roman"/>
        </w:rPr>
      </w:pPr>
      <w:r>
        <w:rPr>
          <w:b/>
          <w:vanish w:val="false"/>
          <w:sz w:val="24"/>
          <w:rFonts w:ascii="Times New Roman" w:hAnsi="Times New Roman"/>
        </w:rPr>
        <w:t xml:space="preserve">Iltimosnomaga ilova qilinayotgan hujjatlar:</w:t>
      </w:r>
    </w:p>
    <w:p>
      <w:pPr>
        <w:pStyle w:val="a0"/>
        <w:jc w:val="both"/>
        <w:ind w:firstLine="463"/>
        <w:spacing w:before="40" w:after="0" w:line="240" w:lineRule="auto"/>
        <w:rPr>
          <w:b/>
          <w:sz w:val="24"/>
          <w:rFonts w:ascii="Times New Roman" w:hAnsi="Times New Roman"/>
        </w:rPr>
      </w:pPr>
      <w:r>
        <w:rPr>
          <w:vanish w:val="false"/>
          <w:color w:val="000000"/>
          <w:sz w:val="24"/>
          <w:rFonts w:ascii="Times New Roman" w:hAnsi="Times New Roman"/>
        </w:rPr>
        <w:t xml:space="preserve">1. Iltimosnoma nusxasi.</w:t>
      </w:r>
    </w:p>
    <w:p>
      <w:pPr>
        <w:pStyle w:val="a0"/>
        <w:jc w:val="both"/>
        <w:spacing w:before="40" w:after="0" w:line="240" w:lineRule="auto"/>
        <w:rPr>
          <w:sz w:val="24"/>
          <w:rFonts w:ascii="Times New Roman" w:hAnsi="Times New Roman"/>
        </w:rPr>
      </w:pPr>
      <w:r>
        <w:rPr>
          <w:vanish w:val="false"/>
        </w:rPr>
      </w:r>
    </w:p>
    <w:p>
      <w:pPr>
        <w:pStyle w:val="a0"/>
        <w:jc w:val="both"/>
        <w:spacing w:before="40" w:after="0" w:line="240" w:lineRule="auto"/>
        <w:rPr>
          <w:sz w:val="24"/>
          <w:rFonts w:ascii="Times New Roman" w:hAnsi="Times New Roman"/>
        </w:rPr>
      </w:pPr>
      <w:r>
        <w:rPr>
          <w:vanish w:val="false"/>
        </w:rPr>
      </w:r>
    </w:p>
    <w:tbl>
      <w:tblPr>
        <w:tblW w:w="0" w:type="auto"/>
      </w:tblPr>
      <w:tblGrid>
        <w:gridCol w:w="3190"/>
        <w:gridCol w:w="3190"/>
        <w:gridCol w:w="3191"/>
      </w:tblGrid>
      <w:tr>
        <w:tc>
          <w:tcPr>
            <w:tcW w:w="3190" w:type="dxa"/>
            <w:shd w:fill="auto"/>
          </w:tcPr>
          <w:p>
            <w:pPr>
              <w:pStyle w:val="a0"/>
              <w:jc w:val="both"/>
              <w:spacing w:before="40" w:after="0"/>
              <w:rPr>
                <w:sz w:val="24"/>
                <w:rFonts w:ascii="Times New Roman" w:hAnsi="Times New Roman"/>
              </w:rPr>
            </w:pPr>
            <w:r>
              <w:rPr>
                <w:vanish w:val="false"/>
                <w:sz w:val="24"/>
                <w:rFonts w:ascii="Times New Roman" w:hAnsi="Times New Roman"/>
              </w:rPr>
              <w:fldChar w:fldCharType="begin"/>
              <w:instrText xml:space="preserve">X {"Y":7}</w:instrText>
              <w:fldChar w:fldCharType="separate"/>
              <w:t xml:space="preserve">Iltimosnoma beruvchi yuridik shaxs rahbarining yoki yakka tartibdagi tadbirkor (YATT)ning F.I.Osi</w:t>
            </w:r>
            <w:r>
              <w:rPr>
                <w:vanish w:val="false"/>
                <w:sz w:val="24"/>
                <w:rFonts w:ascii="Times New Roman" w:hAnsi="Times New Roman"/>
              </w:rPr>
              <w:fldChar w:fldCharType="end"/>
            </w:r>
          </w:p>
          <w:p>
            <w:pPr>
              <w:pStyle w:val="a0"/>
              <w:jc w:val="both"/>
              <w:spacing w:before="40" w:after="0"/>
              <w:rPr>
                <w:sz w:val="24"/>
                <w:rFonts w:ascii="Times New Roman" w:hAnsi="Times New Roman"/>
              </w:rPr>
            </w:pPr>
            <w:r>
              <w:rPr>
                <w:vanish w:val="false"/>
              </w:rPr>
            </w:r>
          </w:p>
        </w:tc>
        <w:tc>
          <w:tcPr>
            <w:tcW w:w="3190" w:type="dxa"/>
            <w:shd w:fill="auto"/>
          </w:tcPr>
          <w:p>
            <w:pPr>
              <w:pStyle w:val="a0"/>
              <w:spacing w:before="40" w:after="0"/>
              <w:pBdr>
                <w:bottom w:sz="12" w:space="1" w:color="auto" w:val="single"/>
              </w:pBdr>
              <w:rPr>
                <w:sz w:val="24"/>
                <w:rFonts w:ascii="Times New Roman" w:hAnsi="Times New Roman"/>
              </w:rPr>
            </w:pPr>
            <w:r>
              <w:rPr>
                <w:vanish w:val="false"/>
              </w:rPr>
            </w:r>
          </w:p>
          <w:p>
            <w:pPr>
              <w:pStyle w:val="a0"/>
              <w:jc w:val="center"/>
              <w:spacing w:before="40" w:after="0"/>
              <w:rPr>
                <w:sz w:val="24"/>
                <w:rFonts w:ascii="Times New Roman" w:hAnsi="Times New Roman"/>
              </w:rPr>
            </w:pPr>
            <w:r>
              <w:rPr>
                <w:vanish w:val="false"/>
                <w:sz w:val="24"/>
                <w:rFonts w:ascii="Times New Roman" w:hAnsi="Times New Roman"/>
              </w:rPr>
              <w:t>imzo</w:t>
            </w:r>
          </w:p>
        </w:tc>
        <w:tc>
          <w:tcPr>
            <w:tcW w:w="3191" w:type="dxa"/>
            <w:shd w:fill="auto"/>
          </w:tcPr>
          <w:p>
            <w:pPr>
              <w:pStyle w:val="a0"/>
              <w:jc w:val="right"/>
              <w:spacing w:before="40" w:after="0"/>
              <w:rPr>
                <w:sz w:val="24"/>
                <w:rFonts w:ascii="Times New Roman" w:hAnsi="Times New Roman"/>
              </w:rPr>
            </w:pPr>
            <w:r>
              <w:rPr>
                <w:vanish w:val="false"/>
                <w:sz w:val="24"/>
                <w:rFonts w:ascii="Times New Roman" w:hAnsi="Times New Roman"/>
              </w:rPr>
              <w:fldChar w:fldCharType="begin"/>
              <w:instrText xml:space="preserve">X {"Y":3}</w:instrText>
              <w:fldChar w:fldCharType="separate"/>
              <w:t xml:space="preserve">Iltimosnoma berilgan sana</w:t>
            </w:r>
            <w:r>
              <w:rPr>
                <w:vanish w:val="false"/>
                <w:sz w:val="24"/>
                <w:rFonts w:ascii="Times New Roman" w:hAnsi="Times New Roman"/>
              </w:rPr>
              <w:fldChar w:fldCharType="end"/>
            </w:r>
            <w:r>
              <w:rPr>
                <w:vanish w:val="false"/>
                <w:sz w:val="24"/>
                <w:rFonts w:ascii="Times New Roman" w:hAnsi="Times New Roman"/>
              </w:rPr>
              <w:t xml:space="preserve"> </w:t>
            </w:r>
          </w:p>
        </w:tc>
      </w:tr>
    </w:tbl>
    <w:p>
      <w:pPr>
        <w:spacing w:after="0" w:line="240" w:lineRule="auto"/>
        <w:rPr>
          <w:color w:val="000000"/>
          <w:sz w:val="24"/>
          <w:rFonts w:ascii="Times New Roman" w:hAnsi="Times New Roman"/>
        </w:rPr>
      </w:pPr>
      <w:r>
        <w:rPr>
          <w:vanish w:val="false"/>
        </w:rPr>
      </w:r>
    </w:p>
    <w:sectPr>
      <w:pgSz w:w="11906" w:h="16838"/>
      <w:pgMar w:left="1701" w:right="567" w:top="567" w:bottom="567" w:header="720" w:footer="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BE1" w:rsidRDefault="00EC7BE1">
      <w:pPr>
        <w:spacing w:after="0" w:line="240" w:lineRule="auto"/>
      </w:pPr>
      <w:r>
        <w:separator/>
      </w:r>
    </w:p>
  </w:endnote>
  <w:endnote w:type="continuationSeparator" w:id="0">
    <w:p w:rsidR="00EC7BE1" w:rsidRDefault="00EC7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BE1" w:rsidRDefault="00EC7BE1">
      <w:pPr>
        <w:spacing w:after="0" w:line="240" w:lineRule="auto"/>
      </w:pPr>
      <w:r>
        <w:separator/>
      </w:r>
    </w:p>
  </w:footnote>
  <w:footnote w:type="continuationSeparator" w:id="0">
    <w:p w:rsidR="00EC7BE1" w:rsidRDefault="00EC7B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3"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A3D17D0"/>
    <w:multiLevelType w:val="hybridMultilevel"/>
    <w:tmpl w:val="953A7F98"/>
    <w:lvl w:ilvl="0" w:tplc="F24A963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1"/>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900"/>
    <w:rsid w:val="0004465D"/>
    <w:rsid w:val="0004786C"/>
    <w:rsid w:val="000866FF"/>
    <w:rsid w:val="001120BA"/>
    <w:rsid w:val="00163DD3"/>
    <w:rsid w:val="001B365A"/>
    <w:rsid w:val="001C6D8A"/>
    <w:rsid w:val="00201ADC"/>
    <w:rsid w:val="002D3093"/>
    <w:rsid w:val="002F13D7"/>
    <w:rsid w:val="00340C52"/>
    <w:rsid w:val="003D77B8"/>
    <w:rsid w:val="003E2C3D"/>
    <w:rsid w:val="003F2844"/>
    <w:rsid w:val="00407646"/>
    <w:rsid w:val="00440746"/>
    <w:rsid w:val="004C28E5"/>
    <w:rsid w:val="004E3ADE"/>
    <w:rsid w:val="004E592E"/>
    <w:rsid w:val="00521F2C"/>
    <w:rsid w:val="00526AAE"/>
    <w:rsid w:val="00573D5F"/>
    <w:rsid w:val="005A4BC7"/>
    <w:rsid w:val="005A6BF4"/>
    <w:rsid w:val="006576BC"/>
    <w:rsid w:val="00680D9A"/>
    <w:rsid w:val="006D2EED"/>
    <w:rsid w:val="006D3532"/>
    <w:rsid w:val="006E2207"/>
    <w:rsid w:val="00715654"/>
    <w:rsid w:val="007205ED"/>
    <w:rsid w:val="00724438"/>
    <w:rsid w:val="00740520"/>
    <w:rsid w:val="00742D0F"/>
    <w:rsid w:val="007B24E4"/>
    <w:rsid w:val="007C2A82"/>
    <w:rsid w:val="007E2190"/>
    <w:rsid w:val="007F3DA2"/>
    <w:rsid w:val="0082550C"/>
    <w:rsid w:val="0087799D"/>
    <w:rsid w:val="009314CD"/>
    <w:rsid w:val="00954B9F"/>
    <w:rsid w:val="00996598"/>
    <w:rsid w:val="009A0A28"/>
    <w:rsid w:val="00A04B25"/>
    <w:rsid w:val="00A20B4C"/>
    <w:rsid w:val="00A224C0"/>
    <w:rsid w:val="00AA411C"/>
    <w:rsid w:val="00B01ED2"/>
    <w:rsid w:val="00B11900"/>
    <w:rsid w:val="00B136B2"/>
    <w:rsid w:val="00B36E92"/>
    <w:rsid w:val="00B63723"/>
    <w:rsid w:val="00B87FD1"/>
    <w:rsid w:val="00C753FF"/>
    <w:rsid w:val="00CC1796"/>
    <w:rsid w:val="00CD5761"/>
    <w:rsid w:val="00CE4C84"/>
    <w:rsid w:val="00D05289"/>
    <w:rsid w:val="00D12B34"/>
    <w:rsid w:val="00D13E28"/>
    <w:rsid w:val="00D175B7"/>
    <w:rsid w:val="00D61BF0"/>
    <w:rsid w:val="00D879E7"/>
    <w:rsid w:val="00D91048"/>
    <w:rsid w:val="00DD26FB"/>
    <w:rsid w:val="00DF73E2"/>
    <w:rsid w:val="00E21AA6"/>
    <w:rsid w:val="00E555CE"/>
    <w:rsid w:val="00E8520B"/>
    <w:rsid w:val="00EC4E9E"/>
    <w:rsid w:val="00EC7BE1"/>
    <w:rsid w:val="00F37195"/>
    <w:rsid w:val="00F7063F"/>
    <w:rsid w:val="00F82E9A"/>
    <w:rsid w:val="00FA41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4C55E917-8116-46FF-AE47-6EEDE1A73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pPr>
    <w:rPr>
      <w:rFonts w:ascii="Calibri" w:eastAsia="Calibri" w:hAnsi="Calibri"/>
      <w:sz w:val="22"/>
      <w:szCs w:val="22"/>
      <w:lang w:eastAsia="zh-CN"/>
    </w:rPr>
  </w:style>
  <w:style w:type="paragraph" w:styleId="2">
    <w:name w:val="heading 2"/>
    <w:basedOn w:val="a"/>
    <w:next w:val="a0"/>
    <w:qFormat/>
    <w:pPr>
      <w:numPr>
        <w:ilvl w:val="1"/>
        <w:numId w:val="1"/>
      </w:numPr>
      <w:spacing w:before="280" w:after="280" w:line="240" w:lineRule="auto"/>
      <w:outlineLvl w:val="1"/>
    </w:pPr>
    <w:rPr>
      <w:rFonts w:ascii="Times New Roman" w:eastAsia="Times New Roman" w:hAnsi="Times New Roman"/>
      <w:b/>
      <w:bCs/>
      <w:sz w:val="36"/>
      <w:szCs w:val="36"/>
    </w:rPr>
  </w:style>
  <w:style w:type="paragraph" w:styleId="3">
    <w:name w:val="heading 3"/>
    <w:basedOn w:val="a"/>
    <w:next w:val="a0"/>
    <w:qFormat/>
    <w:pPr>
      <w:numPr>
        <w:ilvl w:val="2"/>
        <w:numId w:val="1"/>
      </w:numPr>
      <w:spacing w:before="280" w:after="280" w:line="240" w:lineRule="auto"/>
      <w:outlineLvl w:val="2"/>
    </w:pPr>
    <w:rPr>
      <w:rFonts w:ascii="Times New Roman" w:eastAsia="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сновной шрифт абзаца1"/>
  </w:style>
  <w:style w:type="character" w:customStyle="1" w:styleId="30">
    <w:name w:val="Знак Знак3"/>
    <w:rPr>
      <w:rFonts w:ascii="Times New Roman" w:eastAsia="Times New Roman" w:hAnsi="Times New Roman" w:cs="Times New Roman"/>
      <w:b/>
      <w:bCs/>
      <w:sz w:val="36"/>
      <w:szCs w:val="36"/>
    </w:rPr>
  </w:style>
  <w:style w:type="character" w:styleId="a4">
    <w:name w:val="Strong"/>
    <w:qFormat/>
    <w:rPr>
      <w:b/>
      <w:bCs/>
    </w:rPr>
  </w:style>
  <w:style w:type="character" w:customStyle="1" w:styleId="20">
    <w:name w:val="Знак Знак2"/>
    <w:rPr>
      <w:rFonts w:ascii="Times New Roman" w:eastAsia="Times New Roman" w:hAnsi="Times New Roman" w:cs="Times New Roman"/>
      <w:b/>
      <w:bCs/>
      <w:sz w:val="27"/>
      <w:szCs w:val="27"/>
    </w:rPr>
  </w:style>
  <w:style w:type="character" w:customStyle="1" w:styleId="apple-converted-space">
    <w:name w:val="apple-converted-space"/>
    <w:basedOn w:val="1"/>
  </w:style>
  <w:style w:type="character" w:customStyle="1" w:styleId="10">
    <w:name w:val="Знак Знак1"/>
    <w:basedOn w:val="1"/>
  </w:style>
  <w:style w:type="character" w:customStyle="1" w:styleId="a5">
    <w:name w:val="Знак Знак"/>
    <w:basedOn w:val="1"/>
  </w:style>
  <w:style w:type="character" w:styleId="a6">
    <w:name w:val="Hyperlink"/>
    <w:rPr>
      <w:color w:val="0000FF"/>
      <w:u w:val="single"/>
    </w:rPr>
  </w:style>
  <w:style w:type="character" w:styleId="a7">
    <w:name w:val="FollowedHyperlink"/>
    <w:rPr>
      <w:color w:val="800080"/>
      <w:u w:val="single"/>
    </w:rPr>
  </w:style>
  <w:style w:type="paragraph" w:styleId="a8">
    <w:name w:val="Title"/>
    <w:basedOn w:val="a"/>
    <w:next w:val="a0"/>
    <w:pPr>
      <w:keepNext/>
      <w:spacing w:before="240" w:after="120"/>
    </w:pPr>
    <w:rPr>
      <w:rFonts w:ascii="Arial" w:eastAsia="Microsoft YaHei" w:hAnsi="Arial" w:cs="Mangal"/>
      <w:sz w:val="28"/>
      <w:szCs w:val="28"/>
    </w:rPr>
  </w:style>
  <w:style w:type="paragraph" w:styleId="a0">
    <w:name w:val="Body Text"/>
    <w:basedOn w:val="a"/>
    <w:link w:val="a9"/>
    <w:pPr>
      <w:spacing w:after="120"/>
    </w:pPr>
  </w:style>
  <w:style w:type="paragraph" w:styleId="aa">
    <w:name w:val="List"/>
    <w:basedOn w:val="a0"/>
    <w:rPr>
      <w:rFonts w:cs="Mangal"/>
    </w:rPr>
  </w:style>
  <w:style w:type="paragraph" w:styleId="ab">
    <w:name w:val="caption"/>
    <w:basedOn w:val="a"/>
    <w:qFormat/>
    <w:pPr>
      <w:suppressLineNumbers/>
      <w:spacing w:before="120" w:after="120"/>
    </w:pPr>
    <w:rPr>
      <w:rFonts w:cs="Mangal"/>
      <w:i/>
      <w:iCs/>
      <w:sz w:val="24"/>
      <w:szCs w:val="24"/>
    </w:rPr>
  </w:style>
  <w:style w:type="paragraph" w:customStyle="1" w:styleId="11">
    <w:name w:val="Указатель1"/>
    <w:basedOn w:val="a"/>
    <w:pPr>
      <w:suppressLineNumbers/>
    </w:pPr>
    <w:rPr>
      <w:rFonts w:cs="Mangal"/>
    </w:rPr>
  </w:style>
  <w:style w:type="paragraph" w:styleId="ac">
    <w:name w:val="Normal (Web)"/>
    <w:basedOn w:val="a"/>
    <w:pPr>
      <w:spacing w:before="280" w:after="280" w:line="240" w:lineRule="auto"/>
    </w:pPr>
    <w:rPr>
      <w:rFonts w:ascii="Times New Roman" w:eastAsia="Times New Roman" w:hAnsi="Times New Roman"/>
      <w:sz w:val="24"/>
      <w:szCs w:val="24"/>
    </w:rPr>
  </w:style>
  <w:style w:type="paragraph" w:styleId="ad">
    <w:name w:val="header"/>
    <w:basedOn w:val="a"/>
    <w:pPr>
      <w:tabs>
        <w:tab w:val="center" w:pos="4677"/>
        <w:tab w:val="right" w:pos="9355"/>
      </w:tabs>
      <w:spacing w:after="0" w:line="240" w:lineRule="auto"/>
    </w:pPr>
  </w:style>
  <w:style w:type="paragraph" w:styleId="ae">
    <w:name w:val="footer"/>
    <w:basedOn w:val="a"/>
    <w:link w:val="af"/>
    <w:pPr>
      <w:tabs>
        <w:tab w:val="center" w:pos="4677"/>
        <w:tab w:val="right" w:pos="9355"/>
      </w:tabs>
      <w:spacing w:after="0" w:line="240" w:lineRule="auto"/>
    </w:pPr>
  </w:style>
  <w:style w:type="character" w:customStyle="1" w:styleId="af">
    <w:name w:val="Нижний колонтитул Знак"/>
    <w:link w:val="ae"/>
    <w:locked/>
    <w:rsid w:val="003E2C3D"/>
    <w:rPr>
      <w:rFonts w:ascii="Calibri" w:eastAsia="Calibri" w:hAnsi="Calibri"/>
      <w:sz w:val="22"/>
      <w:szCs w:val="22"/>
      <w:lang w:val="ru-RU" w:eastAsia="zh-CN" w:bidi="ar-SA"/>
    </w:rPr>
  </w:style>
  <w:style w:type="character" w:customStyle="1" w:styleId="a9">
    <w:name w:val="Основной текст Знак"/>
    <w:link w:val="a0"/>
    <w:rsid w:val="006E2207"/>
    <w:rPr>
      <w:rFonts w:ascii="Calibri" w:eastAsia="Calibri" w:hAnsi="Calibri"/>
      <w:sz w:val="22"/>
      <w:szCs w:val="22"/>
      <w:lang w:eastAsia="zh-CN"/>
    </w:rPr>
  </w:style>
  <w:style w:type="paragraph" w:styleId="af0">
    <w:name w:val="List Paragraph"/>
    <w:basedOn w:val="a"/>
    <w:uiPriority w:val="34"/>
    <w:qFormat/>
    <w:rsid w:val="006E2207"/>
    <w:pPr>
      <w:suppressAutoHyphens w:val="0"/>
      <w:ind w:left="720"/>
      <w:contextualSpacing/>
    </w:pPr>
    <w:rPr>
      <w:rFonts w:eastAsia="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7641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270</Words>
  <Characters>1540</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Заголовок: Отмена определения об оставлении заявления без рассмотрения</vt:lpstr>
    </vt:vector>
  </TitlesOfParts>
  <Company/>
  <LinksUpToDate>false</LinksUpToDate>
  <CharactersWithSpaces>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Заголовок: Отмена определения об оставлении заявления без рассмотрения</dc:title>
  <dc:subject/>
  <dc:creator>User</dc:creator>
  <cp:keywords/>
  <cp:lastModifiedBy>Shakarboy Goyibnazarov</cp:lastModifiedBy>
  <cp:revision>2</cp:revision>
  <cp:lastPrinted>1899-12-31T19:00:00Z</cp:lastPrinted>
  <dcterms:created xsi:type="dcterms:W3CDTF">2022-08-29T06:46:00Z</dcterms:created>
  <dcterms:modified xsi:type="dcterms:W3CDTF">2022-08-29T06:46:00Z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Iltimosnoma rekvizitlari</w:name>
    <w:value w:hidden="true">
      <w:unit w:active="false"/>
    </w:value>
  </w:element>
  <w:element w:id="2" w:kind="variable" w:selector="check" w:type="string" w:valueMode="normal" w:required="false" w:groupID="1">
    <w:identifier xml:space="preserve">ID2</w:identifier>
    <w:name xml:space="preserve">Iltimosnoma berilgan iqtisodiy sud nomi</w:name>
    <w:value w:hidden="false">
      <w:unit w:active="false"/>
      <w:binding w:dataSource="1" w:column="court_name" w:search="false"/>
    </w:value>
  </w:element>
  <w:element w:id="3" w:kind="variable" w:selector="check" w:type="date" w:valueMode="normal" w:required="false" w:groupID="1">
    <w:identifier xml:space="preserve">ID3</w:identifier>
    <w:name xml:space="preserve">Iltimosnoma berilgan sana</w:name>
    <w:comment xml:space="preserve">(kun, oy, yil)</w:comment>
    <w:value w:hidden="false">
      <w:unit w:active="false"/>
    </w:value>
  </w:element>
  <w:element w:id="4" w:kind="category" w:selector="check" w:type="string" w:valueMode="normal" w:required="false">
    <w:identifier xml:space="preserve">ID4</w:identifier>
    <w:name xml:space="preserve">Iltimosnoma beruvchi</w:name>
    <w:value w:hidden="true">
      <w:unit w:active="false"/>
    </w:value>
  </w:element>
  <w:element w:id="5" w:kind="variable" w:selector="check" w:type="string" w:valueMode="normal" w:required="false" w:groupID="4">
    <w:identifier xml:space="preserve">ID5</w:identifier>
    <w:name xml:space="preserve">Iltimosnoma beruvchining manzili</w:name>
    <w:value w:hidden="false">
      <w:unit w:active="false"/>
    </w:value>
  </w:element>
  <w:element w:id="6" w:kind="variable" w:selector="check" w:type="string" w:valueMode="normal" w:required="false" w:groupID="4">
    <w:identifier xml:space="preserve">ID6</w:identifier>
    <w:name xml:space="preserve">Iltimosnoma beruvchi yuridik shaxs nomi yoki yakka tartibdagi tadbirkor (YATT)ning F.I.Osi</w:name>
    <w:comment xml:space="preserve">Masalan: “Nur” MJCH yoki YATT A.Aliyev</w:comment>
    <w:value w:hidden="false">
      <w:unit w:active="false"/>
    </w:value>
  </w:element>
  <w:element w:id="7" w:kind="variable" w:selector="check" w:type="string" w:valueMode="normal" w:required="false" w:groupID="4">
    <w:identifier xml:space="preserve">ID7</w:identifier>
    <w:name xml:space="preserve">Iltimosnoma beruvchi yuridik shaxs rahbarining yoki yakka tartibdagi tadbirkor (YATT)ning F.I.Osi</w:name>
    <w:value w:hidden="false">
      <w:unit w:active="false"/>
    </w:value>
  </w:element>
  <w:element w:id="8" w:kind="category" w:selector="check" w:type="string" w:valueMode="normal" w:required="false">
    <w:identifier xml:space="preserve">ID8</w:identifier>
    <w:name xml:space="preserve">Iltimosnoma mazmuni</w:name>
    <w:value w:hidden="true">
      <w:unit w:active="false"/>
    </w:value>
  </w:element>
  <w:element w:id="9" w:kind="variable" w:selector="check" w:type="string" w:valueMode="normal" w:required="false" w:groupID="8">
    <w:identifier xml:space="preserve">ID9</w:identifier>
    <w:name xml:space="preserve">Ish bo‘yicha daʼvogarning nomi va tashkiliy huquqiy shakli</w:name>
    <w:value w:hidden="false">
      <w:unit w:active="false"/>
    </w:value>
  </w:element>
  <w:element w:id="10" w:kind="variable" w:selector="check" w:type="string" w:valueMode="normal" w:required="false" w:groupID="8">
    <w:identifier xml:space="preserve">ID10</w:identifier>
    <w:name xml:space="preserve">Ish bo‘yicha javobgarning nomi va tashkiliy huquqiy shakli</w:name>
    <w:value w:hidden="false">
      <w:unit w:active="false"/>
    </w:value>
  </w:element>
  <w:element w:id="11" w:kind="variable" w:selector="check" w:type="string" w:valueMode="normal" w:required="false" w:groupID="8">
    <w:identifier xml:space="preserve">ID11</w:identifier>
    <w:name xml:space="preserve">Daʼvo ariza mazmuni</w:name>
    <w:value w:hidden="false">
      <w:unit w:active="false"/>
    </w:value>
  </w:element>
</w:structure>
</file>