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spacing w:after="0"/>
        <w:rPr>
          <w:b/>
          <w:sz w:val="28"/>
          <w:rFonts w:ascii="Times New Roman" w:hAnsi="Times New Roman"/>
        </w:rPr>
      </w:pPr>
    </w:p>
    <w:tbl>
      <w:tblPr>
        <w:tblStyle w:val="a8"/>
        <w:tblW w:w="0" w:type="auto"/>
        <w:tblInd w:w="4820"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35"/>
      </w:tblGrid>
      <w:tr>
        <w:tc>
          <w:tcPr>
            <w:tcW w:w="9571" w:type="dxa"/>
          </w:tcPr>
          <w:p>
            <w:pPr>
              <w:pStyle w:val="ConsPlusNonformat"/>
              <w:jc w:val="right"/>
              <w:spacing w:line="276" w:lineRule="auto"/>
              <w:rPr>
                <w:b/>
                <w:sz w:val="28"/>
                <w:rFonts w:ascii="Times New Roman" w:hAnsi="Times New Roman"/>
              </w:rPr>
            </w:pPr>
            <w:r>
              <w:rPr>
                <w:sz w:val="28"/>
                <w:rFonts w:ascii="Times New Roman" w:hAnsi="Times New Roman"/>
              </w:rPr>
              <w:t xml:space="preserve">Fuqarolik ishlari boʻyicha </w:t>
              <w:br/>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sudning nomi</w:t>
              <w:fldChar w:fldCharType="end"/>
            </w:r>
            <w:r>
              <w:rPr>
                <w:sz w:val="28"/>
                <w:rFonts w:ascii="Times New Roman" w:hAnsi="Times New Roman"/>
              </w:rPr>
              <w:t xml:space="preserve"> sudiga</w:t>
            </w:r>
          </w:p>
        </w:tc>
      </w:tr>
      <w:tr>
        <w:tc>
          <w:tcPr>
            <w:tcW w:w="9571" w:type="dxa"/>
          </w:tcPr>
          <w:p>
            <w:pPr>
              <w:pStyle w:val="ConsPlusNonformat"/>
              <w:jc w:val="right"/>
              <w:spacing w:line="276" w:lineRule="auto"/>
              <w:rPr>
                <w:b/>
                <w:sz w:val="28"/>
                <w:rFonts w:ascii="Times New Roman" w:hAnsi="Times New Roman"/>
              </w:rPr>
            </w:pPr>
            <w:r>
              <w:rPr>
                <w:b/>
                <w:sz w:val="28"/>
                <w:rFonts w:ascii="Times New Roman" w:hAnsi="Times New Roman"/>
              </w:rPr>
              <w:t xml:space="preserve">Ariza beruvchi: </w:t>
            </w: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Ariza beruvchining F.I.Sh</w:t>
              <w:fldChar w:fldCharType="end"/>
            </w:r>
          </w:p>
        </w:tc>
      </w:tr>
      <w:tr>
        <w:tc>
          <w:tcPr>
            <w:tcW w:w="9571" w:type="dxa"/>
          </w:tcPr>
          <w:p>
            <w:pPr>
              <w:pStyle w:val="ConsPlusNonformat"/>
              <w:jc w:val="right"/>
              <w:spacing w:line="276" w:lineRule="auto"/>
              <w:rPr>
                <w:sz w:val="28"/>
                <w:rFonts w:ascii="Times New Roman" w:hAnsi="Times New Roman"/>
              </w:rPr>
            </w:pPr>
            <w:r>
              <w:rPr>
                <w:b/>
                <w:sz w:val="28"/>
                <w:rFonts w:ascii="Times New Roman" w:hAnsi="Times New Roman"/>
              </w:rPr>
              <w:t>Manzil</w:t>
            </w:r>
            <w:r>
              <w:rPr>
                <w:sz w:val="28"/>
                <w:rFonts w:ascii="Times New Roman" w:hAnsi="Times New Roman"/>
              </w:rPr>
              <w:t>:</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 beruvchining manzili</w:t>
              <w:fldChar w:fldCharType="end"/>
            </w:r>
            <w:r>
              <w:rPr>
                <w:sz w:val="28"/>
                <w:rFonts w:ascii="Times New Roman" w:hAnsi="Times New Roman"/>
              </w:rPr>
              <w:t>,</w:t>
            </w:r>
          </w:p>
        </w:tc>
      </w:tr>
      <w:tr>
        <w:tc>
          <w:tcPr>
            <w:tcW w:w="9571" w:type="dxa"/>
          </w:tcPr>
          <w:p>
            <w:pPr>
              <w:pStyle w:val="ConsPlusNonformat"/>
              <w:jc w:val="right"/>
              <w:spacing w:line="276" w:lineRule="auto"/>
              <w:rPr>
                <w:sz w:val="28"/>
                <w:rFonts w:ascii="Times New Roman" w:hAnsi="Times New Roman"/>
              </w:rPr>
            </w:pPr>
            <w:r>
              <w:rPr>
                <w:b/>
                <w:sz w:val="28"/>
                <w:rFonts w:ascii="Times New Roman" w:hAnsi="Times New Roman"/>
              </w:rPr>
              <w:t>Telefon</w:t>
            </w:r>
            <w:r>
              <w:rPr>
                <w:sz w:val="28"/>
                <w:rFonts w:ascii="Times New Roman" w:hAnsi="Times New Roman"/>
              </w:rPr>
              <w:t xml:space="preserve">: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beruvchining telefon raqami</w:t>
              <w:fldChar w:fldCharType="end"/>
            </w:r>
            <w:r>
              <w:rPr>
                <w:sz w:val="28"/>
                <w:rFonts w:ascii="Times New Roman" w:hAnsi="Times New Roman"/>
              </w:rPr>
              <w:t xml:space="preserve"> </w:t>
            </w:r>
          </w:p>
        </w:tc>
      </w:tr>
    </w:tbl>
    <w:p>
      <w:pPr>
        <w:jc w:val="right"/>
        <w:spacing w:after="0"/>
        <w:rPr>
          <w:sz w:val="28"/>
          <w:rFonts w:ascii="Times New Roman" w:hAnsi="Times New Roman"/>
        </w:rPr>
      </w:pPr>
    </w:p>
    <w:p>
      <w:pPr>
        <w:jc w:val="center"/>
        <w:spacing w:after="0"/>
        <w:rPr>
          <w:b/>
          <w:sz w:val="28"/>
          <w:rFonts w:ascii="Times New Roman" w:hAnsi="Times New Roman"/>
        </w:rPr>
      </w:pPr>
      <w:r>
        <w:rPr>
          <w:b/>
          <w:sz w:val="28"/>
          <w:rFonts w:ascii="Times New Roman" w:hAnsi="Times New Roman"/>
        </w:rPr>
        <w:t xml:space="preserve">A R I Z A</w:t>
      </w:r>
    </w:p>
    <w:p>
      <w:pPr>
        <w:jc w:val="center"/>
        <w:spacing w:after="0"/>
        <w:rPr>
          <w:sz w:val="28"/>
          <w:rFonts w:ascii="Times New Roman" w:hAnsi="Times New Roman"/>
        </w:rPr>
      </w:pPr>
      <w:r>
        <w:rPr>
          <w:sz w:val="28"/>
          <w:rFonts w:ascii="Times New Roman" w:hAnsi="Times New Roman"/>
        </w:rPr>
        <w:t xml:space="preserve">(Sud qarorining qaytarma ijrosi toʻgʻrisida)</w:t>
      </w:r>
    </w:p>
    <w:p>
      <w:pPr>
        <w:jc w:val="center"/>
        <w:spacing w:after="0"/>
        <w:rPr>
          <w:sz w:val="28"/>
          <w:rFonts w:ascii="Times New Roman" w:hAnsi="Times New Roman"/>
        </w:rPr>
      </w:pPr>
    </w:p>
    <w:p>
      <w:pPr>
        <w:jc w:val="both"/>
        <w:ind w:firstLine="709"/>
        <w:spacing w:after="0"/>
        <w:rPr>
          <w:sz w:val="28"/>
          <w:rFonts w:ascii="Times New Roman" w:hAnsi="Times New Roman"/>
        </w:rPr>
      </w:pPr>
      <w:r>
        <w:rPr>
          <w:sz w:val="28"/>
          <w:rFonts w:ascii="Times New Roman" w:hAnsi="Times New Roman"/>
        </w:rPr>
        <w:t xml:space="preserve">Beraman ushbu arizani shu haqdakim,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Ariza beruvchiga nisbatan fuqarolik sudi ishi ko‘rilgan sana</w:t>
        <w:fldChar w:fldCharType="end"/>
      </w:r>
      <w:r>
        <w:rPr>
          <w:sz w:val="28"/>
          <w:rFonts w:ascii="Times New Roman" w:hAnsi="Times New Roman"/>
        </w:rPr>
        <w:t xml:space="preserve">da fuqarolik ishlari boʻyicha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Fuqarolik ishi ko‘rilgan sudning nomi</w:t>
        <w:fldChar w:fldCharType="end"/>
      </w:r>
      <w:r>
        <w:rPr>
          <w:sz w:val="28"/>
          <w:rFonts w:ascii="Times New Roman" w:hAnsi="Times New Roman"/>
        </w:rPr>
        <w:t xml:space="preserve"> sudi tomonidan daʼvogar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Daʼvogarning F.I.Sh</w:t>
        <w:fldChar w:fldCharType="end"/>
      </w:r>
      <w:r>
        <w:rPr>
          <w:sz w:val="28"/>
          <w:rFonts w:ascii="Times New Roman" w:hAnsi="Times New Roman"/>
        </w:rPr>
        <w:t xml:space="preserve">ning menga nisbatan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Ariza beruvchiga nisbatan ko‘rib chiqilgan fuqarolik sud ishining predmeti</w:t>
        <w:fldChar w:fldCharType="end"/>
      </w:r>
      <w:r>
        <w:rPr>
          <w:sz w:val="28"/>
          <w:rFonts w:ascii="Times New Roman" w:hAnsi="Times New Roman"/>
        </w:rPr>
        <w:t xml:space="preserve"> haqidagi fuqarolik ishi koʻrib chiqilib, daʼvogarning daʼvo talabi qanoatlantirilgan.</w:t>
      </w:r>
    </w:p>
    <w:p>
      <w:pPr>
        <w:jc w:val="both"/>
        <w:ind w:firstLine="709"/>
        <w:spacing w:after="0"/>
        <w:rPr>
          <w:sz w:val="28"/>
          <w:rFonts w:ascii="Times New Roman" w:hAnsi="Times New Roman"/>
        </w:rPr>
      </w:pPr>
      <w:r>
        <w:rPr>
          <w:sz w:val="28"/>
          <w:rFonts w:ascii="Times New Roman" w:hAnsi="Times New Roman"/>
        </w:rPr>
        <w:t xml:space="preserve">Mazkur fuqarolik ishi yuzasidan chiqarilgan hal qiluv qaroridan norozi boʻlib keltirgan kassatsiya tartibidagi shikoyatim Oʻzbekiston Respublikasi Oliy sudi fuqarolik ishlari sudlov hayʼatining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Sudlov hayʼati ajrimi chiqarilgan sana</w:t>
        <w:fldChar w:fldCharType="end"/>
      </w:r>
      <w:r>
        <w:rPr>
          <w:sz w:val="28"/>
          <w:rFonts w:ascii="Times New Roman" w:hAnsi="Times New Roman"/>
        </w:rPr>
        <w:t xml:space="preserve">dagi ajrimiga koʻra fuqarolik ishlari boʻyicha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Hal qiluv qarori bekor qilingan sudning nomi</w:t>
        <w:fldChar w:fldCharType="end"/>
      </w:r>
      <w:r>
        <w:rPr>
          <w:sz w:val="28"/>
          <w:rFonts w:ascii="Times New Roman" w:hAnsi="Times New Roman"/>
        </w:rPr>
        <w:t xml:space="preserve"> tumanlararo sudining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Hal qiluv qarori qabu qilingan sana</w:t>
        <w:fldChar w:fldCharType="end"/>
      </w:r>
      <w:r>
        <w:rPr>
          <w:sz w:val="28"/>
          <w:rFonts w:ascii="Times New Roman" w:hAnsi="Times New Roman"/>
        </w:rPr>
        <w:t xml:space="preserve">dagi hal qiluv qarori bekor qilinib, ish yangidan koʻrish uchun birinchi instansiya sudiga yuborilgan.</w:t>
      </w:r>
    </w:p>
    <w:p>
      <w:pPr>
        <w:jc w:val="both"/>
        <w:ind w:firstLine="709"/>
        <w:spacing w:after="0"/>
        <w:rPr>
          <w:sz w:val="28"/>
          <w:rFonts w:ascii="Times New Roman" w:hAnsi="Times New Roman"/>
        </w:rPr>
      </w:pPr>
      <w:r>
        <w:rPr>
          <w:sz w:val="28"/>
          <w:rFonts w:ascii="Times New Roman" w:hAnsi="Times New Roman"/>
        </w:rPr>
        <w:t xml:space="preserve">Birinchi instansiya sudining hal qiluv qarori bilan daʼvo arizasini qanoatlantirish rad etilgan. </w:t>
      </w:r>
    </w:p>
    <w:p>
      <w:pPr>
        <w:jc w:val="both"/>
        <w:ind w:firstLine="709"/>
        <w:spacing w:after="0"/>
        <w:rPr>
          <w:sz w:val="28"/>
          <w:rFonts w:ascii="Times New Roman" w:hAnsi="Times New Roman"/>
        </w:rPr>
      </w:pPr>
      <w:r>
        <w:rPr>
          <w:sz w:val="28"/>
          <w:rFonts w:ascii="Times New Roman" w:hAnsi="Times New Roman"/>
        </w:rPr>
        <w:t xml:space="preserve">Shu sababli, Oʻzbekiston Respublikasi Fuqarolik protsessual kodeksining 458-moddasiga asosan Ijro etilgan sud hujjati oʻzgartirilgan yoki bekor qilingan va ish yangidan koʻrib chiqilganidan keyin talablarni qanoatlantirishni toʻliq yoki qisman rad etish toʻgʻrisida hal qiluv qarori qabul qilingan yoki ish yuritishni tugatish toʻgʻrisida yoxud arizani koʻrmasdan qoldirish toʻgʻrisida ajrim chiqarilgan taqdirda, oʻzgartirilgan yoki bekor qilingan sud hujjati boʻyicha javobgardan daʼvogarning foydasiga undirilgan narsalarning barchasi javobgarga qaytarib berilishi kerak (hal qiluv qarorining qaytarma ijrosi).</w:t>
      </w:r>
    </w:p>
    <w:p>
      <w:pPr>
        <w:jc w:val="both"/>
        <w:ind w:firstLine="709"/>
        <w:spacing w:after="0"/>
        <w:rPr>
          <w:sz w:val="28"/>
          <w:rFonts w:ascii="Times New Roman" w:hAnsi="Times New Roman"/>
        </w:rPr>
      </w:pPr>
      <w:r>
        <w:rPr>
          <w:sz w:val="28"/>
          <w:rFonts w:ascii="Times New Roman" w:hAnsi="Times New Roman"/>
        </w:rPr>
        <w:t xml:space="preserve">Shularni inobatga olib, Oʻzbekiston Respublikasi Fuqarolik protsessual kodeksining 459-moddasi talablariga asosan sud hujjatining qaytarma ijrosi toʻgʻrisidagi masalani koʻrib chiqishingizni soʻrayman.</w:t>
      </w:r>
    </w:p>
    <w:p>
      <w:pPr>
        <w:jc w:val="both"/>
        <w:ind w:firstLine="709"/>
        <w:spacing w:after="0"/>
        <w:rPr>
          <w:sz w:val="28"/>
          <w:rFonts w:ascii="Times New Roman" w:hAnsi="Times New Roman"/>
        </w:rPr>
      </w:pPr>
    </w:p>
    <w:p>
      <w:pPr>
        <w:jc w:val="both"/>
        <w:ind w:firstLine="709"/>
        <w:spacing w:after="0"/>
        <w:rPr>
          <w:sz w:val="28"/>
          <w:rFonts w:ascii="Times New Roman" w:hAnsi="Times New Roman"/>
        </w:rPr>
      </w:pPr>
    </w:p>
    <w:tbl>
      <w:tblPr>
        <w:tblStyle w:val="a8"/>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32"/>
        <w:gridCol w:w="3096"/>
        <w:gridCol w:w="3127"/>
      </w:tblGrid>
      <w:tr>
        <w:tc>
          <w:tcPr>
            <w:tcW w:w="3190" w:type="dxa"/>
          </w:tcPr>
          <w:p>
            <w:pPr>
              <w:rPr>
                <w:sz w:val="28"/>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Ariza beruvchining F.I.Sh</w:t>
              <w:fldChar w:fldCharType="end"/>
            </w:r>
          </w:p>
        </w:tc>
        <w:tc>
          <w:tcPr>
            <w:tcW w:w="3190" w:type="dxa"/>
          </w:tcPr>
          <w:p>
            <w:pPr>
              <w:jc w:val="both"/>
              <w:rPr>
                <w:sz w:val="28"/>
                <w:rFonts w:ascii="Times New Roman" w:hAnsi="Times New Roman"/>
              </w:rPr>
            </w:pPr>
          </w:p>
        </w:tc>
        <w:tc>
          <w:tcPr>
            <w:tcW w:w="3191" w:type="dxa"/>
          </w:tcPr>
          <w:p>
            <w:pPr>
              <w:jc w:val="right"/>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imzolangan sana</w:t>
              <w:fldChar w:fldCharType="end"/>
            </w:r>
          </w:p>
        </w:tc>
      </w:tr>
      <w:tr>
        <w:tc>
          <w:tcPr>
            <w:tcW w:w="3190" w:type="dxa"/>
          </w:tcPr>
          <w:p>
            <w:pPr>
              <w:jc w:val="both"/>
              <w:rPr>
                <w:sz w:val="28"/>
                <w:rFonts w:ascii="Times New Roman" w:hAnsi="Times New Roman"/>
              </w:rPr>
            </w:pPr>
          </w:p>
        </w:tc>
        <w:tc>
          <w:tcPr>
            <w:tcW w:w="3190" w:type="dxa"/>
          </w:tcPr>
          <w:p>
            <w:pPr>
              <w:jc w:val="center"/>
              <w:rPr>
                <w:i/>
                <w:sz w:val="28"/>
                <w:rFonts w:ascii="Times New Roman" w:hAnsi="Times New Roman"/>
              </w:rPr>
            </w:pPr>
            <w:r>
              <w:rPr>
                <w:i/>
                <w:sz w:val="28"/>
                <w:rFonts w:ascii="Times New Roman" w:hAnsi="Times New Roman"/>
              </w:rPr>
              <w:t>Imzo</w:t>
            </w:r>
          </w:p>
        </w:tc>
        <w:tc>
          <w:tcPr>
            <w:tcW w:w="3191" w:type="dxa"/>
          </w:tcPr>
          <w:p>
            <w:pPr>
              <w:jc w:val="both"/>
              <w:rPr>
                <w:sz w:val="28"/>
                <w:rFonts w:ascii="Times New Roman" w:hAnsi="Times New Roman"/>
              </w:rPr>
            </w:pPr>
          </w:p>
        </w:tc>
      </w:tr>
    </w:tbl>
    <w:p>
      <w:pPr>
        <w:jc w:val="both"/>
        <w:spacing w:after="0"/>
        <w:rPr>
          <w:b/>
          <w:sz w:val="28"/>
        </w:rPr>
      </w:pP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B52" w:rsidRDefault="00D84B52" w:rsidP="00D41D80">
      <w:pPr>
        <w:spacing w:after="0" w:line="240" w:lineRule="auto"/>
      </w:pPr>
      <w:r>
        <w:separator/>
      </w:r>
    </w:p>
  </w:endnote>
  <w:endnote w:type="continuationSeparator" w:id="0">
    <w:p w:rsidR="00D84B52" w:rsidRDefault="00D84B52" w:rsidP="00D41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B52" w:rsidRDefault="00D84B52" w:rsidP="00D41D80">
      <w:pPr>
        <w:spacing w:after="0" w:line="240" w:lineRule="auto"/>
      </w:pPr>
      <w:r>
        <w:separator/>
      </w:r>
    </w:p>
  </w:footnote>
  <w:footnote w:type="continuationSeparator" w:id="0">
    <w:p w:rsidR="00D84B52" w:rsidRDefault="00D84B52" w:rsidP="00D41D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43D"/>
    <w:rsid w:val="00026153"/>
    <w:rsid w:val="000456D0"/>
    <w:rsid w:val="00050735"/>
    <w:rsid w:val="00176FDA"/>
    <w:rsid w:val="00214E6B"/>
    <w:rsid w:val="002940DB"/>
    <w:rsid w:val="002C1225"/>
    <w:rsid w:val="002C6E30"/>
    <w:rsid w:val="003169AB"/>
    <w:rsid w:val="0033147F"/>
    <w:rsid w:val="00372C3F"/>
    <w:rsid w:val="003739DF"/>
    <w:rsid w:val="00374305"/>
    <w:rsid w:val="0038176A"/>
    <w:rsid w:val="003A5664"/>
    <w:rsid w:val="00422CBF"/>
    <w:rsid w:val="00450CEF"/>
    <w:rsid w:val="0046343D"/>
    <w:rsid w:val="0046690A"/>
    <w:rsid w:val="004B6AD7"/>
    <w:rsid w:val="004E6C01"/>
    <w:rsid w:val="0050542B"/>
    <w:rsid w:val="005D5499"/>
    <w:rsid w:val="005E1DF6"/>
    <w:rsid w:val="005E494C"/>
    <w:rsid w:val="005E4E6F"/>
    <w:rsid w:val="005E4FAB"/>
    <w:rsid w:val="005E6528"/>
    <w:rsid w:val="00647DA8"/>
    <w:rsid w:val="006E0B83"/>
    <w:rsid w:val="00731095"/>
    <w:rsid w:val="00776E66"/>
    <w:rsid w:val="0078042A"/>
    <w:rsid w:val="00836BF6"/>
    <w:rsid w:val="00846B5A"/>
    <w:rsid w:val="00894ECE"/>
    <w:rsid w:val="008C074C"/>
    <w:rsid w:val="008D1F5F"/>
    <w:rsid w:val="00923D66"/>
    <w:rsid w:val="009A544F"/>
    <w:rsid w:val="00A416DD"/>
    <w:rsid w:val="00A57914"/>
    <w:rsid w:val="00AB0D7C"/>
    <w:rsid w:val="00AC58E7"/>
    <w:rsid w:val="00AC611B"/>
    <w:rsid w:val="00AE6644"/>
    <w:rsid w:val="00AF1A9A"/>
    <w:rsid w:val="00AF7140"/>
    <w:rsid w:val="00B21DFF"/>
    <w:rsid w:val="00B22EA0"/>
    <w:rsid w:val="00B6039F"/>
    <w:rsid w:val="00BB6DED"/>
    <w:rsid w:val="00BC0CFE"/>
    <w:rsid w:val="00BD5592"/>
    <w:rsid w:val="00BF1A15"/>
    <w:rsid w:val="00C12B3F"/>
    <w:rsid w:val="00CD40AB"/>
    <w:rsid w:val="00D21CCB"/>
    <w:rsid w:val="00D41A19"/>
    <w:rsid w:val="00D41D80"/>
    <w:rsid w:val="00D626E3"/>
    <w:rsid w:val="00D84B52"/>
    <w:rsid w:val="00D95906"/>
    <w:rsid w:val="00D97B44"/>
    <w:rsid w:val="00DB0A7D"/>
    <w:rsid w:val="00E438A4"/>
    <w:rsid w:val="00E50648"/>
    <w:rsid w:val="00E54389"/>
    <w:rsid w:val="00E94967"/>
    <w:rsid w:val="00E955C3"/>
    <w:rsid w:val="00EC7854"/>
    <w:rsid w:val="00F6648A"/>
    <w:rsid w:val="00F934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8D5A31-DB05-43DA-BE77-EF90CAF30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31095"/>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header"/>
    <w:basedOn w:val="a"/>
    <w:link w:val="a4"/>
    <w:uiPriority w:val="99"/>
    <w:unhideWhenUsed/>
    <w:rsid w:val="00D41D8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41D80"/>
  </w:style>
  <w:style w:type="paragraph" w:styleId="a5">
    <w:name w:val="footer"/>
    <w:basedOn w:val="a"/>
    <w:link w:val="a6"/>
    <w:uiPriority w:val="99"/>
    <w:unhideWhenUsed/>
    <w:rsid w:val="00D41D8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41D80"/>
  </w:style>
  <w:style w:type="paragraph" w:styleId="a7">
    <w:name w:val="List Paragraph"/>
    <w:basedOn w:val="a"/>
    <w:uiPriority w:val="34"/>
    <w:qFormat/>
    <w:rsid w:val="005D5499"/>
    <w:pPr>
      <w:ind w:left="720"/>
      <w:contextualSpacing/>
    </w:pPr>
  </w:style>
  <w:style w:type="table" w:styleId="a8">
    <w:name w:val="Table Grid"/>
    <w:basedOn w:val="a1"/>
    <w:uiPriority w:val="59"/>
    <w:rsid w:val="009A5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2128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Oss</dc:creator>
  <cp:lastModifiedBy>Shakarboy Goyibnazarov</cp:lastModifiedBy>
  <cp:revision>2</cp:revision>
  <dcterms:created xsi:type="dcterms:W3CDTF">2022-08-23T13:10:00Z</dcterms:created>
  <dcterms:modified xsi:type="dcterms:W3CDTF">2022-08-23T13:10:00Z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sudning nomi</w:name>
    <w:value w:hidden="false">
      <w:unit w:active="false"/>
    </w:value>
  </w:element>
  <w:element w:id="3" w:kind="variable" w:selector="check" w:type="string" w:valueMode="normal" w:required="false" w:groupID="1">
    <w:identifier xml:space="preserve">ID3</w:identifier>
    <w:name xml:space="preserve">Ariza imzolangan sana</w:name>
    <w:value w:hidden="false">
      <w:unit w:active="false"/>
    </w:value>
  </w:element>
  <w:element w:id="4" w:kind="variable" w:selector="check" w:type="string" w:valueMode="normal" w:required="false" w:groupID="1">
    <w:identifier xml:space="preserve">ID4</w:identifier>
    <w:name xml:space="preserve">Ariza beruvchining F.I.Sh</w:name>
    <w:value w:hidden="false">
      <w:unit w:active="false"/>
    </w:value>
  </w:element>
  <w:element w:id="5" w:kind="variable" w:selector="check" w:type="string" w:valueMode="normal" w:required="false" w:groupID="1">
    <w:identifier xml:space="preserve">ID5</w:identifier>
    <w:name xml:space="preserve">Ariza beruvchining manzili</w:name>
    <w:value w:hidden="false">
      <w:unit w:active="false"/>
    </w:value>
  </w:element>
  <w:element w:id="6" w:kind="variable" w:selector="check" w:type="string" w:valueMode="normal" w:required="false" w:groupID="1">
    <w:identifier xml:space="preserve">ID6</w:identifier>
    <w:name xml:space="preserve">Ariza beruvchining telefon raqami</w:name>
    <w:value w:hidden="false">
      <w:unit w:active="false"/>
    </w:value>
  </w:element>
  <w:element w:id="7" w:kind="category" w:selector="check" w:type="string" w:valueMode="normal" w:required="false">
    <w:identifier xml:space="preserve">ID7</w:identifier>
    <w:name xml:space="preserve">Arizaning mazmuni</w:name>
    <w:value w:hidden="true">
      <w:unit w:active="false"/>
    </w:value>
  </w:element>
  <w:element w:id="8" w:kind="variable" w:selector="check" w:type="string" w:valueMode="normal" w:required="false" w:groupID="7">
    <w:identifier xml:space="preserve">ID8</w:identifier>
    <w:name xml:space="preserve">Ariza beruvchiga nisbatan fuqarolik sudi ishi ko‘rilgan sana</w:name>
    <w:value w:hidden="false">
      <w:unit w:active="false"/>
    </w:value>
  </w:element>
  <w:element w:id="9" w:kind="variable" w:selector="check" w:type="string" w:valueMode="normal" w:required="false" w:groupID="7">
    <w:identifier xml:space="preserve">ID9</w:identifier>
    <w:name xml:space="preserve">Fuqarolik ishi ko‘rilgan sudning nomi</w:name>
    <w:value w:hidden="false">
      <w:unit w:active="false"/>
    </w:value>
  </w:element>
  <w:element w:id="10" w:kind="variable" w:selector="check" w:type="string" w:valueMode="normal" w:required="false" w:groupID="7">
    <w:identifier xml:space="preserve">ID10</w:identifier>
    <w:name xml:space="preserve">Daʼvogarning F.I.Sh</w:name>
    <w:value w:hidden="false">
      <w:unit w:active="false"/>
    </w:value>
  </w:element>
  <w:element w:id="11" w:kind="variable" w:selector="check" w:type="string" w:valueMode="normal" w:required="false" w:groupID="7">
    <w:identifier xml:space="preserve">ID11</w:identifier>
    <w:name xml:space="preserve">Ariza beruvchiga nisbatan ko‘rib chiqilgan fuqarolik sud ishining predmeti</w:name>
    <w:value w:hidden="false">
      <w:unit w:active="false"/>
    </w:value>
  </w:element>
  <w:element w:id="12" w:kind="variable" w:selector="check" w:type="string" w:valueMode="normal" w:required="false" w:groupID="7">
    <w:identifier xml:space="preserve">ID12</w:identifier>
    <w:name xml:space="preserve">Sudlov hayʼati ajrimi chiqarilgan sana</w:name>
    <w:value w:hidden="false">
      <w:unit w:active="false"/>
    </w:value>
  </w:element>
  <w:element w:id="13" w:kind="variable" w:selector="check" w:type="string" w:valueMode="normal" w:required="false" w:groupID="7">
    <w:identifier xml:space="preserve">ID13</w:identifier>
    <w:name xml:space="preserve">Hal qiluv qarori bekor qilingan sudning nomi</w:name>
    <w:value w:hidden="false">
      <w:unit w:active="false"/>
    </w:value>
  </w:element>
  <w:element w:id="14" w:kind="variable" w:selector="check" w:type="string" w:valueMode="normal" w:required="false" w:groupID="7">
    <w:identifier xml:space="preserve">ID14</w:identifier>
    <w:name xml:space="preserve">Hal qiluv qarori qabu qilingan sana</w:name>
    <w:value w:hidden="false">
      <w:unit w:active="false"/>
    </w:value>
  </w:element>
</w:structure>
</file>