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4944"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234"/>
        <w:gridCol w:w="969"/>
        <w:gridCol w:w="3047"/>
      </w:tblGrid>
      <w:tr>
        <w:tc>
          <w:tcPr>
            <w:tcW w:w="2829" w:type="pct"/>
          </w:tcPr>
          <w:p>
            <w:pPr>
              <w:jc w:val="both"/>
              <w:spacing w:line="276" w:lineRule="auto"/>
              <w:rPr>
                <w:b/>
                <w:sz w:val="28"/>
              </w:rPr>
            </w:pPr>
          </w:p>
        </w:tc>
        <w:tc>
          <w:tcPr>
            <w:tcW w:w="524" w:type="pct"/>
          </w:tcPr>
          <w:p>
            <w:pPr>
              <w:spacing w:line="276" w:lineRule="auto"/>
              <w:rPr>
                <w:sz w:val="28"/>
              </w:rPr>
            </w:pPr>
          </w:p>
        </w:tc>
        <w:tc>
          <w:tcPr>
            <w:tcW w:w="1647" w:type="pct"/>
          </w:tcPr>
          <w:p>
            <w:pPr>
              <w:spacing w:line="276" w:lineRule="auto"/>
              <w:rPr>
                <w:sz w:val="28"/>
              </w:rPr>
            </w:pPr>
            <w:r>
              <w:t xml:space="preserve"> </w:t>
            </w:r>
            <w:r>
              <w:rPr>
                <w:vanish w:val="false"/>
                <w:sz w:val="28"/>
                <w:rFonts w:ascii="Times New Roman" w:hAnsi="Times New Roman"/>
              </w:rPr>
              <w:fldChar w:fldCharType="begin"/>
              <w:instrText xml:space="preserve">X {"Y":2}</w:instrText>
              <w:fldChar w:fldCharType="separate"/>
              <w:t xml:space="preserve">Appelyatsiya shikoyati berilgan sud nomi</w:t>
            </w:r>
            <w:r>
              <w:rPr>
                <w:vanish w:val="false"/>
                <w:sz w:val="28"/>
                <w:rFonts w:ascii="Times New Roman" w:hAnsi="Times New Roman"/>
              </w:rPr>
              <w:fldChar w:fldCharType="end"/>
            </w:r>
            <w:r>
              <w:rPr>
                <w:sz w:val="28"/>
              </w:rPr>
              <w:t xml:space="preserve"> sudiga</w:t>
            </w:r>
          </w:p>
        </w:tc>
      </w:tr>
      <w:tr>
        <w:tc>
          <w:tcPr>
            <w:tcW w:w="2829" w:type="pct"/>
          </w:tcPr>
          <w:p>
            <w:pPr>
              <w:spacing w:line="276" w:lineRule="auto"/>
              <w:rPr>
                <w:sz w:val="28"/>
              </w:rPr>
            </w:pPr>
          </w:p>
        </w:tc>
        <w:tc>
          <w:tcPr>
            <w:tcW w:w="524" w:type="pct"/>
          </w:tcPr>
          <w:p>
            <w:pPr>
              <w:spacing w:line="276" w:lineRule="auto"/>
              <w:rPr>
                <w:sz w:val="28"/>
              </w:rPr>
            </w:pPr>
          </w:p>
        </w:tc>
        <w:tc>
          <w:tcPr>
            <w:tcW w:w="1647" w:type="pct"/>
          </w:tcPr>
          <w:p>
            <w:pPr>
              <w:spacing w:line="276" w:lineRule="auto"/>
              <w:rPr>
                <w:sz w:val="28"/>
              </w:rPr>
            </w:pPr>
            <w:r>
              <w:rPr>
                <w:vanish w:val="false"/>
                <w:sz w:val="28"/>
                <w:rFonts w:ascii="Times New Roman" w:hAnsi="Times New Roman"/>
              </w:rPr>
              <w:fldChar w:fldCharType="begin"/>
              <w:instrText xml:space="preserve">X {"Y":5}</w:instrText>
              <w:fldChar w:fldCharType="separate"/>
              <w:t xml:space="preserve">Apellyatsiya shikoyati beruvchi shaxsning F.I.Sh.i</w:t>
            </w:r>
            <w:r>
              <w:rPr>
                <w:vanish w:val="false"/>
                <w:sz w:val="28"/>
                <w:rFonts w:ascii="Times New Roman" w:hAnsi="Times New Roman"/>
              </w:rPr>
              <w:fldChar w:fldCharType="end"/>
            </w:r>
            <w:r>
              <w:rPr>
                <w:sz w:val="28"/>
              </w:rPr>
              <w:t>dan</w:t>
            </w:r>
          </w:p>
        </w:tc>
      </w:tr>
      <w:tr>
        <w:tc>
          <w:tcPr>
            <w:tcW w:w="2829" w:type="pct"/>
          </w:tcPr>
          <w:p>
            <w:pPr>
              <w:spacing w:line="276" w:lineRule="auto"/>
              <w:rPr>
                <w:sz w:val="28"/>
              </w:rPr>
            </w:pPr>
          </w:p>
        </w:tc>
        <w:tc>
          <w:tcPr>
            <w:tcW w:w="524" w:type="pct"/>
          </w:tcPr>
          <w:p>
            <w:pPr>
              <w:spacing w:line="276" w:lineRule="auto"/>
              <w:rPr>
                <w:sz w:val="28"/>
              </w:rPr>
            </w:pPr>
          </w:p>
        </w:tc>
        <w:tc>
          <w:tcPr>
            <w:tcW w:w="1647" w:type="pct"/>
          </w:tcPr>
          <w:p>
            <w:pPr>
              <w:spacing w:line="276" w:lineRule="auto"/>
              <w:rPr>
                <w:sz w:val="28"/>
              </w:rPr>
            </w:pPr>
            <w:r>
              <w:rPr>
                <w:sz w:val="28"/>
              </w:rPr>
              <w:t xml:space="preserve">Manzil: </w:t>
            </w:r>
            <w:r>
              <w:rPr>
                <w:vanish w:val="false"/>
                <w:sz w:val="28"/>
                <w:rFonts w:ascii="Times New Roman" w:hAnsi="Times New Roman"/>
              </w:rPr>
              <w:fldChar w:fldCharType="begin"/>
              <w:instrText xml:space="preserve">X {"Y":6}</w:instrText>
              <w:fldChar w:fldCharType="separate"/>
              <w:t xml:space="preserve">Apellyatsiya shikoyati beruvchi shaxsning F.I.Sh.i</w:t>
            </w:r>
            <w:r>
              <w:rPr>
                <w:vanish w:val="false"/>
                <w:sz w:val="28"/>
                <w:rFonts w:ascii="Times New Roman" w:hAnsi="Times New Roman"/>
              </w:rPr>
              <w:fldChar w:fldCharType="end"/>
            </w:r>
          </w:p>
        </w:tc>
      </w:tr>
      <w:tr>
        <w:tc>
          <w:tcPr>
            <w:tcW w:w="2829" w:type="pct"/>
          </w:tcPr>
          <w:p>
            <w:pPr>
              <w:spacing w:line="276" w:lineRule="auto"/>
              <w:rPr>
                <w:sz w:val="28"/>
              </w:rPr>
            </w:pPr>
          </w:p>
        </w:tc>
        <w:tc>
          <w:tcPr>
            <w:tcW w:w="524" w:type="pct"/>
          </w:tcPr>
          <w:p>
            <w:pPr>
              <w:spacing w:line="276" w:lineRule="auto"/>
              <w:rPr>
                <w:sz w:val="28"/>
              </w:rPr>
            </w:pPr>
          </w:p>
        </w:tc>
        <w:tc>
          <w:tcPr>
            <w:tcW w:w="1647" w:type="pct"/>
          </w:tcPr>
          <w:p>
            <w:pPr>
              <w:spacing w:line="276" w:lineRule="auto"/>
              <w:rPr>
                <w:sz w:val="28"/>
              </w:rPr>
            </w:pPr>
            <w:r>
              <w:rPr>
                <w:sz w:val="28"/>
              </w:rPr>
              <w:t xml:space="preserve">Telefon: </w:t>
            </w:r>
            <w:r>
              <w:rPr>
                <w:vanish w:val="false"/>
                <w:sz w:val="28"/>
                <w:rFonts w:ascii="Times New Roman" w:hAnsi="Times New Roman"/>
              </w:rPr>
              <w:fldChar w:fldCharType="begin"/>
              <w:instrText xml:space="preserve">X {"Y":7}</w:instrText>
              <w:fldChar w:fldCharType="separate"/>
              <w:t xml:space="preserve">Apellyatsiya shikoyati beruvchi shaxsning telefon raqami</w:t>
            </w:r>
            <w:r>
              <w:rPr>
                <w:vanish w:val="false"/>
                <w:sz w:val="28"/>
                <w:rFonts w:ascii="Times New Roman" w:hAnsi="Times New Roman"/>
              </w:rPr>
              <w:fldChar w:fldCharType="end"/>
            </w:r>
          </w:p>
        </w:tc>
      </w:tr>
    </w:tbl>
    <w:p>
      <w:pPr>
        <w:ind w:left="2832"/>
        <w:spacing w:line="276" w:lineRule="auto"/>
        <w:rPr>
          <w:sz w:val="28"/>
        </w:rPr>
      </w:pPr>
    </w:p>
    <w:p>
      <w:pPr>
        <w:jc w:val="center"/>
        <w:spacing w:line="276" w:lineRule="auto"/>
        <w:rPr>
          <w:b/>
          <w:sz w:val="28"/>
        </w:rPr>
      </w:pPr>
      <w:r>
        <w:rPr>
          <w:b/>
          <w:sz w:val="28"/>
        </w:rPr>
        <w:t xml:space="preserve">APELLYATSIYA SHIKOYATI</w:t>
      </w:r>
    </w:p>
    <w:p>
      <w:pPr>
        <w:jc w:val="center"/>
        <w:spacing w:line="276" w:lineRule="auto"/>
        <w:rPr>
          <w:b/>
          <w:sz w:val="28"/>
        </w:rPr>
      </w:pPr>
    </w:p>
    <w:p>
      <w:pPr>
        <w:jc w:val="center"/>
        <w:spacing w:line="276" w:lineRule="auto"/>
        <w:rPr>
          <w:i/>
          <w:sz w:val="28"/>
        </w:rPr>
      </w:pPr>
      <w:r>
        <w:rPr>
          <w:i/>
          <w:sz w:val="28"/>
        </w:rPr>
        <w:t>(</w:t>
      </w:r>
      <w:r>
        <w:rPr>
          <w:i/>
          <w:vanish w:val="false"/>
          <w:sz w:val="28"/>
          <w:rFonts w:ascii="Times New Roman" w:hAnsi="Times New Roman"/>
        </w:rPr>
        <w:fldChar w:fldCharType="begin"/>
        <w:instrText xml:space="preserve">X {"Y":9}</w:instrText>
        <w:fldChar w:fldCharType="separate"/>
        <w:t xml:space="preserve">Birinchi instansiya sudining nomi</w:t>
      </w:r>
      <w:r>
        <w:rPr>
          <w:i/>
          <w:vanish w:val="false"/>
          <w:sz w:val="28"/>
          <w:rFonts w:ascii="Times New Roman" w:hAnsi="Times New Roman"/>
        </w:rPr>
        <w:fldChar w:fldCharType="end"/>
      </w:r>
      <w:r>
        <w:rPr>
          <w:i/>
          <w:sz w:val="28"/>
        </w:rPr>
        <w:t xml:space="preserve"> sudining </w:t>
      </w:r>
      <w:r>
        <w:rPr>
          <w:i/>
          <w:vanish w:val="false"/>
          <w:sz w:val="28"/>
          <w:rFonts w:ascii="Times New Roman" w:hAnsi="Times New Roman"/>
        </w:rPr>
        <w:fldChar w:fldCharType="begin"/>
        <w:instrText xml:space="preserve">X {"Y":10}</w:instrText>
        <w:fldChar w:fldCharType="separate"/>
        <w:t xml:space="preserve">Birinchi instansiya sudi tomonidan maʼmuriy huquqbuzarlik to‘g‘risidagi qarori qabul qilingan sana</w:t>
      </w:r>
      <w:r>
        <w:rPr>
          <w:vanish w:val="false"/>
        </w:rPr>
        <w:fldChar w:fldCharType="end"/>
      </w:r>
      <w:r>
        <w:rPr>
          <w:i/>
          <w:sz w:val="28"/>
        </w:rPr>
        <w:t xml:space="preserve">dagi maʼmuriy huquqbuzarlik toʻgʻrisidagi qarori ustidan)</w:t>
      </w:r>
    </w:p>
    <w:p>
      <w:pPr>
        <w:jc w:val="center"/>
        <w:spacing w:line="276" w:lineRule="auto"/>
        <w:rPr>
          <w:i/>
          <w:sz w:val="28"/>
        </w:rPr>
      </w:pPr>
    </w:p>
    <w:p>
      <w:pPr>
        <w:jc w:val="center"/>
        <w:spacing w:line="276" w:lineRule="auto"/>
        <w:rPr>
          <w:i/>
          <w:sz w:val="28"/>
        </w:rPr>
      </w:pPr>
    </w:p>
    <w:p>
      <w:pPr>
        <w:jc w:val="both"/>
        <w:ind w:firstLine="851"/>
        <w:spacing w:line="276" w:lineRule="auto"/>
        <w:rPr>
          <w:sz w:val="28"/>
        </w:rPr>
      </w:pPr>
      <w:r>
        <w:rPr>
          <w:sz w:val="28"/>
        </w:rPr>
        <w:t xml:space="preserve">Quyidagilarga koʻra </w:t>
      </w:r>
      <w:r>
        <w:rPr>
          <w:vanish w:val="false"/>
          <w:sz w:val="28"/>
          <w:rFonts w:ascii="Times New Roman" w:hAnsi="Times New Roman"/>
        </w:rPr>
        <w:fldChar w:fldCharType="begin"/>
        <w:instrText xml:space="preserve">X {"Y":9}</w:instrText>
        <w:fldChar w:fldCharType="separate"/>
        <w:t xml:space="preserve">Birinchi instansiya sudining nomi</w:t>
      </w:r>
      <w:r>
        <w:rPr>
          <w:vanish w:val="false"/>
          <w:sz w:val="28"/>
          <w:rFonts w:ascii="Times New Roman" w:hAnsi="Times New Roman"/>
        </w:rPr>
        <w:fldChar w:fldCharType="end"/>
      </w:r>
      <w:r>
        <w:rPr>
          <w:sz w:val="28"/>
        </w:rPr>
        <w:t xml:space="preserve"> sudining </w:t>
      </w:r>
      <w:r>
        <w:rPr>
          <w:vanish w:val="false"/>
          <w:sz w:val="28"/>
          <w:rFonts w:ascii="Times New Roman" w:hAnsi="Times New Roman"/>
        </w:rPr>
        <w:fldChar w:fldCharType="begin"/>
        <w:instrText xml:space="preserve">X {"Y":10}</w:instrText>
        <w:fldChar w:fldCharType="separate"/>
        <w:t xml:space="preserve">Birinchi instansiya sudi tomonidan maʼmuriy huquqbuzarlik to‘g‘risidagi qarori qabul qilingan sana</w:t>
      </w:r>
      <w:r>
        <w:rPr>
          <w:vanish w:val="false"/>
          <w:sz w:val="28"/>
          <w:rFonts w:ascii="Times New Roman" w:hAnsi="Times New Roman"/>
        </w:rPr>
        <w:fldChar w:fldCharType="end"/>
      </w:r>
      <w:r>
        <w:rPr>
          <w:sz w:val="28"/>
        </w:rPr>
        <w:t xml:space="preserve">dagi </w:t>
      </w:r>
      <w:r>
        <w:rPr>
          <w:vanish w:val="false"/>
          <w:sz w:val="28"/>
          <w:rFonts w:ascii="Times New Roman" w:hAnsi="Times New Roman"/>
        </w:rPr>
        <w:fldChar w:fldCharType="begin"/>
        <w:instrText xml:space="preserve">X {"Y":11}</w:instrText>
        <w:fldChar w:fldCharType="separate"/>
        <w:t xml:space="preserve">Birinchi instansiya sudi tomonidan maʼmuriy huquqbuzarlik to‘g‘risidagi qarori raqami</w:t>
      </w:r>
      <w:r>
        <w:rPr>
          <w:vanish w:val="false"/>
          <w:sz w:val="28"/>
          <w:rFonts w:ascii="Times New Roman" w:hAnsi="Times New Roman"/>
        </w:rPr>
        <w:fldChar w:fldCharType="end"/>
      </w:r>
      <w:r>
        <w:rPr>
          <w:sz w:val="28"/>
        </w:rPr>
        <w:t xml:space="preserve">-sonli maʼmuriy huquqbuzarlik toʻgʻrisidagi qarorini qonun talablari buzilgan holda qabul qilingan deb hisoblayman.</w:t>
      </w:r>
    </w:p>
    <w:p>
      <w:pPr>
        <w:jc w:val="both"/>
        <w:ind w:firstLine="851"/>
        <w:spacing w:line="276" w:lineRule="auto"/>
        <w:rPr>
          <w:sz w:val="28"/>
        </w:rPr>
      </w:pPr>
      <w:r>
        <w:rPr>
          <w:sz w:val="28"/>
        </w:rPr>
        <w:t xml:space="preserve">Men, daʼvo arizamda </w:t>
      </w:r>
      <w:r>
        <w:rPr>
          <w:vanish w:val="false"/>
          <w:sz w:val="28"/>
          <w:rFonts w:ascii="Times New Roman" w:hAnsi="Times New Roman"/>
        </w:rPr>
        <w:fldChar w:fldCharType="begin"/>
        <w:instrText xml:space="preserve">X {"Y":12}</w:instrText>
        <w:fldChar w:fldCharType="separate"/>
        <w:t xml:space="preserve">Apellyatsiya beruvchi shaxsning daʼvo arizasida ko‘rsatgan dalilari</w:t>
      </w:r>
      <w:r>
        <w:rPr>
          <w:vanish w:val="false"/>
          <w:sz w:val="28"/>
          <w:rFonts w:ascii="Times New Roman" w:hAnsi="Times New Roman"/>
        </w:rPr>
        <w:fldChar w:fldCharType="end"/>
      </w:r>
      <w:r>
        <w:rPr>
          <w:sz w:val="28"/>
        </w:rPr>
        <w:t xml:space="preserve">ligini koʻrsatib, suddan </w:t>
      </w:r>
      <w:r>
        <w:rPr>
          <w:vanish w:val="false"/>
          <w:sz w:val="28"/>
          <w:rFonts w:ascii="Times New Roman" w:hAnsi="Times New Roman"/>
        </w:rPr>
        <w:fldChar w:fldCharType="begin"/>
        <w:instrText xml:space="preserve">X {"Y":13}</w:instrText>
        <w:fldChar w:fldCharType="separate"/>
        <w:t xml:space="preserve">Apellyatsiya beruvchi shaxsning daʼvo arizasida ko‘rsatgan vajlari</w:t>
      </w:r>
      <w:r>
        <w:rPr>
          <w:vanish w:val="false"/>
          <w:sz w:val="28"/>
          <w:rFonts w:ascii="Times New Roman" w:hAnsi="Times New Roman"/>
        </w:rPr>
        <w:fldChar w:fldCharType="end"/>
      </w:r>
      <w:r>
        <w:rPr>
          <w:sz w:val="28"/>
        </w:rPr>
        <w:t xml:space="preserve">ni soʻraganman va daʼvo talablarimning asosi sifatida </w:t>
      </w:r>
      <w:r>
        <w:rPr>
          <w:vanish w:val="false"/>
          <w:sz w:val="28"/>
          <w:rFonts w:ascii="Times New Roman" w:hAnsi="Times New Roman"/>
        </w:rPr>
        <w:fldChar w:fldCharType="begin"/>
        <w:instrText xml:space="preserve">X {"Y":14}</w:instrText>
        <w:fldChar w:fldCharType="separate"/>
        <w:t xml:space="preserve">Apellyatsiya beruvchi shaxsning daʼvo talablarining asoslari</w:t>
      </w:r>
      <w:r>
        <w:rPr>
          <w:vanish w:val="false"/>
          <w:sz w:val="28"/>
          <w:rFonts w:ascii="Times New Roman" w:hAnsi="Times New Roman"/>
        </w:rPr>
        <w:fldChar w:fldCharType="end"/>
      </w:r>
      <w:r>
        <w:rPr>
          <w:sz w:val="28"/>
        </w:rPr>
        <w:t xml:space="preserve">larni keltirganman. </w:t>
      </w:r>
    </w:p>
    <w:p>
      <w:pPr>
        <w:jc w:val="both"/>
        <w:shd w:fill="ffffff"/>
        <w:ind w:firstLine="851"/>
        <w:spacing w:line="276" w:lineRule="auto"/>
        <w:rPr>
          <w:color w:val="000000"/>
          <w:sz w:val="28"/>
        </w:rPr>
      </w:pPr>
      <w:r>
        <w:rPr>
          <w:color w:val="000000"/>
          <w:sz w:val="28"/>
        </w:rPr>
        <w:t xml:space="preserve">Shuningdek, vajlarimning asosli ekanligi sud majlisida yana </w:t>
      </w:r>
      <w:r>
        <w:rPr>
          <w:vanish w:val="false"/>
          <w:color w:val="000000"/>
          <w:sz w:val="28"/>
          <w:rFonts w:ascii="Times New Roman" w:hAnsi="Times New Roman"/>
        </w:rPr>
        <w:fldChar w:fldCharType="begin"/>
        <w:instrText xml:space="preserve">X {"Y":15}</w:instrText>
        <w:fldChar w:fldCharType="separate"/>
        <w:t xml:space="preserve">Apellyatsiya beruvchi shaxsning vajlari sud majlisida ko‘rsatgan qo‘shimcha vajlari</w:t>
      </w:r>
      <w:r>
        <w:rPr>
          <w:vanish w:val="false"/>
          <w:color w:val="000000"/>
          <w:sz w:val="28"/>
          <w:rFonts w:ascii="Times New Roman" w:hAnsi="Times New Roman"/>
        </w:rPr>
        <w:fldChar w:fldCharType="end"/>
      </w:r>
      <w:r>
        <w:rPr>
          <w:color w:val="000000"/>
          <w:sz w:val="28"/>
        </w:rPr>
        <w:t xml:space="preserve">lar bilan ham tasdigʻini topdi.</w:t>
      </w:r>
    </w:p>
    <w:p>
      <w:pPr>
        <w:jc w:val="both"/>
        <w:shd w:fill="ffffff"/>
        <w:ind w:firstLine="851"/>
        <w:spacing w:line="276" w:lineRule="auto"/>
        <w:rPr>
          <w:color w:val="000000"/>
          <w:sz w:val="28"/>
        </w:rPr>
      </w:pPr>
      <w:r>
        <w:rPr>
          <w:color w:val="000000"/>
          <w:sz w:val="28"/>
        </w:rPr>
        <w:t xml:space="preserve">Biroq sud, </w:t>
      </w:r>
      <w:r>
        <w:rPr>
          <w:vanish w:val="false"/>
          <w:color w:val="000000"/>
          <w:sz w:val="28"/>
          <w:rFonts w:ascii="Times New Roman" w:hAnsi="Times New Roman"/>
        </w:rPr>
        <w:fldChar w:fldCharType="begin"/>
        <w:instrText xml:space="preserve">X {"Y":16}</w:instrText>
        <w:fldChar w:fldCharType="separate"/>
        <w:t xml:space="preserve">Apellyatsiya beruvchi shaxsning sud inobatga olmagan deb xulosaga kelishiga sabab bo‘lgan asoslar</w:t>
      </w:r>
      <w:r>
        <w:rPr>
          <w:vanish w:val="false"/>
          <w:color w:val="000000"/>
          <w:sz w:val="28"/>
          <w:rFonts w:ascii="Times New Roman" w:hAnsi="Times New Roman"/>
        </w:rPr>
        <w:fldChar w:fldCharType="end"/>
      </w:r>
      <w:r>
        <w:rPr>
          <w:color w:val="000000"/>
          <w:sz w:val="28"/>
        </w:rPr>
        <w:t xml:space="preserve">larni inobatga olmasdan, notoʻgʻri xulosaga kelgan.</w:t>
      </w:r>
    </w:p>
    <w:p>
      <w:pPr>
        <w:jc w:val="both"/>
        <w:shd w:fill="ffffff"/>
        <w:ind w:firstLine="851"/>
        <w:spacing w:line="276" w:lineRule="auto"/>
        <w:rPr>
          <w:color w:val="000000"/>
          <w:sz w:val="28"/>
        </w:rPr>
      </w:pPr>
      <w:r>
        <w:rPr>
          <w:color w:val="000000"/>
          <w:sz w:val="28"/>
        </w:rPr>
        <w:t xml:space="preserve">Ishni koʻrishda sud tomonidan quyidagi normalar buzilib, notoʻgʻri qoʻllanilgan. Jumladan, </w:t>
      </w:r>
      <w:r>
        <w:rPr>
          <w:vanish w:val="false"/>
          <w:color w:val="000000"/>
          <w:sz w:val="28"/>
          <w:rFonts w:ascii="Times New Roman" w:hAnsi="Times New Roman"/>
        </w:rPr>
        <w:fldChar w:fldCharType="begin"/>
        <w:instrText xml:space="preserve">X {"Y":17}</w:instrText>
        <w:fldChar w:fldCharType="separate"/>
        <w:t xml:space="preserve">Sud qaysi normalarni buzgan va noto‘g‘ri qo‘llanganligi</w:t>
      </w:r>
      <w:r>
        <w:rPr>
          <w:vanish w:val="false"/>
          <w:color w:val="000000"/>
          <w:sz w:val="28"/>
          <w:rFonts w:ascii="Times New Roman" w:hAnsi="Times New Roman"/>
        </w:rPr>
        <w:fldChar w:fldCharType="end"/>
      </w:r>
      <w:r>
        <w:rPr>
          <w:color w:val="000000"/>
          <w:sz w:val="28"/>
        </w:rPr>
        <w:t>.</w:t>
      </w:r>
    </w:p>
    <w:p>
      <w:pPr>
        <w:jc w:val="both"/>
        <w:shd w:fill="ffffff"/>
        <w:ind w:firstLine="851"/>
        <w:spacing w:line="276" w:lineRule="auto"/>
        <w:rPr>
          <w:color w:val="000000"/>
          <w:sz w:val="28"/>
        </w:rPr>
      </w:pPr>
      <w:bookmarkStart w:id="1" w:name="3525626"/>
      <w:bookmarkStart w:id="2" w:name="3525523"/>
      <w:r>
        <w:rPr>
          <w:color w:val="000000"/>
          <w:sz w:val="28"/>
        </w:rPr>
        <w:t xml:space="preserve">Oʻzbekiston Respublikasining maʼmuriy javobgarlik toʻgʻrisidagi kodeksining</w:t>
      </w:r>
      <w:r>
        <w:rPr>
          <w:color w:val="000000"/>
          <w:sz w:val="28"/>
        </w:rPr>
        <w:t xml:space="preserve"> (keyingi oʻrinlarda — MJTK) 324</w:t>
      </w:r>
      <w:r>
        <w:rPr>
          <w:color w:val="000000"/>
          <w:sz w:val="28"/>
          <w:vertAlign w:val="superscript"/>
        </w:rPr>
        <w:t>1</w:t>
      </w:r>
      <w:r>
        <w:rPr>
          <w:color w:val="000000"/>
          <w:sz w:val="28"/>
        </w:rPr>
        <w:t xml:space="preserve">-moddaga koʻra, Maʼmuriy huquqbuzarlik toʻgʻrisidagi ish </w:t>
      </w:r>
      <w:r>
        <w:rPr>
          <w:color w:val="000000"/>
          <w:sz w:val="28"/>
        </w:rPr>
        <w:t xml:space="preserve">yuzasidan oʻziga nisbatan sudning qarori chiqarilgan shaxs, jabrlanuvchi, ularning qonuniy vakillari, advokat, shuningdek maʼmuriy huquqbuzarlik toʻgʻrisida bayonnoma tuzgan organ birinchi instansiya sudining qarori ustidan apellyatsiya shikoyati berishga, prokuror esa protest keltirishga haqli ekanligi belgilangan.</w:t>
      </w:r>
    </w:p>
    <w:p>
      <w:pPr>
        <w:jc w:val="both"/>
        <w:shd w:fill="ffffff"/>
        <w:ind w:firstLine="851"/>
        <w:spacing w:line="276" w:lineRule="auto"/>
        <w:rPr>
          <w:color w:val="000000"/>
          <w:sz w:val="28"/>
        </w:rPr>
      </w:pPr>
      <w:r>
        <w:rPr>
          <w:color w:val="000000"/>
          <w:sz w:val="28"/>
        </w:rPr>
        <w:t xml:space="preserve">MJTKning 3243-moddasiga koʻra, birinchi instansiya sudining maʼmuriy huquqbuzarlik toʻgʻrisidagi ish boʻyicha qarori ustidan apellyatsiya shikoyati (protesti) qaror oʻqib eshittirilgan kundan eʼtiboran yigirma sutka ichida, oʻziga nisbatan sud qarori chiqarilgan shaxs va jabrlanuvchi tomonidan esa, qarorning koʻchirma nusxalari ularga topshirilgan yoki ular tomonidan ushbu koʻchirma nusxalar olingan kundan eʼtiboran xuddi shu muddatda berilishi mumkin.</w:t>
      </w:r>
      <w:r>
        <w:rPr>
          <w:color w:val="000000"/>
          <w:sz w:val="28"/>
        </w:rPr>
        <w:t xml:space="preserve"> </w:t>
      </w:r>
      <w:bookmarkEnd w:id="1"/>
    </w:p>
    <w:p>
      <w:pPr>
        <w:jc w:val="both"/>
        <w:shd w:fill="ffffff"/>
        <w:ind w:firstLine="851"/>
        <w:spacing w:line="276" w:lineRule="auto"/>
        <w:rPr>
          <w:color w:val="000000"/>
          <w:sz w:val="28"/>
        </w:rPr>
      </w:pPr>
      <w:r>
        <w:rPr>
          <w:color w:val="000000"/>
          <w:sz w:val="28"/>
        </w:rPr>
        <w:t xml:space="preserve">MJTKning 324</w:t>
      </w:r>
      <w:r>
        <w:rPr>
          <w:color w:val="000000"/>
          <w:sz w:val="28"/>
          <w:vertAlign w:val="superscript"/>
        </w:rPr>
        <w:t>8</w:t>
      </w:r>
      <w:r>
        <w:rPr>
          <w:color w:val="000000"/>
          <w:sz w:val="28"/>
        </w:rPr>
        <w:t xml:space="preserve">-moddasiga koʻra, </w:t>
      </w:r>
      <w:bookmarkEnd w:id="2"/>
      <w:bookmarkStart w:id="3" w:name="3525528"/>
      <w:r>
        <w:rPr>
          <w:color w:val="000000"/>
          <w:sz w:val="28"/>
        </w:rPr>
        <w:t xml:space="preserve">Birinchi instansiya sudining qarori ustidan apellyatsiya shikoyatini (protestini) koʻrib chiqish natijalariga koʻra, apellyatsiya instansiyasi sudi quyidagi qarorlardan birini qabul qiladi:</w:t>
      </w:r>
    </w:p>
    <w:p>
      <w:pPr>
        <w:jc w:val="both"/>
        <w:shd w:fill="ffffff"/>
        <w:ind w:firstLine="851"/>
        <w:spacing w:line="276" w:lineRule="auto"/>
        <w:rPr>
          <w:color w:val="000000"/>
          <w:sz w:val="28"/>
        </w:rPr>
      </w:pPr>
      <w:r>
        <w:rPr>
          <w:color w:val="000000"/>
          <w:sz w:val="28"/>
        </w:rPr>
        <w:t xml:space="preserve">1) birinchi instansiya sudi qarorini oʻzgarishsiz, shikoyatni (protestni) esa qanoatlantirmay qoldirish toʻgʻrisida;</w:t>
      </w:r>
    </w:p>
    <w:p>
      <w:pPr>
        <w:jc w:val="both"/>
        <w:shd w:fill="ffffff"/>
        <w:ind w:firstLine="851"/>
        <w:spacing w:line="276" w:lineRule="auto"/>
        <w:rPr>
          <w:color w:val="000000"/>
          <w:sz w:val="28"/>
        </w:rPr>
      </w:pPr>
      <w:r>
        <w:rPr>
          <w:color w:val="000000"/>
          <w:sz w:val="28"/>
        </w:rPr>
        <w:t xml:space="preserve">2) birinchi instansiya sudi qarorini, shuningdek organning (mansabdor shaxsning) qarorini bekor qilish va ishni maʼmuriy huquqbuzarlik toʻgʻrisida bayonnoma tuzgan organga (mansabdor shaxsga) qaytarish haqida;</w:t>
      </w:r>
    </w:p>
    <w:p>
      <w:pPr>
        <w:jc w:val="both"/>
        <w:shd w:fill="ffffff"/>
        <w:ind w:firstLine="851"/>
        <w:spacing w:line="276" w:lineRule="auto"/>
        <w:rPr>
          <w:color w:val="000000"/>
          <w:sz w:val="28"/>
        </w:rPr>
      </w:pPr>
      <w:r>
        <w:rPr>
          <w:color w:val="000000"/>
          <w:sz w:val="28"/>
        </w:rPr>
        <w:t xml:space="preserve">3) birinchi instansiya sudi qarorini oʻzgartirish yoki bekor qilish va yangi qaror chiqarish toʻgʻrisida;</w:t>
      </w:r>
    </w:p>
    <w:p>
      <w:pPr>
        <w:jc w:val="both"/>
        <w:shd w:fill="ffffff"/>
        <w:ind w:firstLine="851"/>
        <w:spacing w:line="276" w:lineRule="auto"/>
        <w:rPr>
          <w:color w:val="000000"/>
          <w:sz w:val="28"/>
        </w:rPr>
      </w:pPr>
      <w:r>
        <w:rPr>
          <w:color w:val="000000"/>
          <w:sz w:val="28"/>
        </w:rPr>
        <w:t xml:space="preserve">4) birinchi instansiya sudi qarorini bekor qilish va ish yuritishni tugatish toʻgʻrisida;</w:t>
      </w:r>
    </w:p>
    <w:p>
      <w:pPr>
        <w:jc w:val="both"/>
        <w:shd w:fill="ffffff"/>
        <w:ind w:firstLine="851"/>
        <w:spacing w:line="276" w:lineRule="auto"/>
        <w:rPr>
          <w:color w:val="000000"/>
          <w:sz w:val="28"/>
        </w:rPr>
      </w:pPr>
      <w:r>
        <w:rPr>
          <w:color w:val="000000"/>
          <w:sz w:val="28"/>
        </w:rPr>
        <w:t xml:space="preserve">5) jazo chorasini kuchaytirmagan holda uni maʼmuriy huquqbuzarlik uchun javobgarlik toʻgʻrisidagi qonunchilik hujjatida nazarda tutilgan doirada oʻzgartirish haqida;</w:t>
      </w:r>
    </w:p>
    <w:p>
      <w:pPr>
        <w:jc w:val="both"/>
        <w:shd w:fill="ffffff"/>
        <w:ind w:firstLine="851"/>
        <w:spacing w:line="276" w:lineRule="auto"/>
        <w:rPr>
          <w:color w:val="000000"/>
          <w:sz w:val="28"/>
        </w:rPr>
      </w:pPr>
      <w:r>
        <w:rPr>
          <w:color w:val="000000"/>
          <w:sz w:val="28"/>
        </w:rPr>
        <w:t xml:space="preserve">6) apellyatsiya shikoyati (protesti) qaytarib olinishi munosabati bilan apellyatsiya ish yuritishini tugatish toʻgʻrisida. </w:t>
      </w:r>
      <w:bookmarkEnd w:id="3"/>
    </w:p>
    <w:p>
      <w:pPr>
        <w:jc w:val="both"/>
        <w:shd w:fill="ffffff"/>
        <w:ind w:firstLine="851"/>
        <w:spacing w:line="276" w:lineRule="auto"/>
        <w:rPr>
          <w:color w:val="000000"/>
          <w:sz w:val="28"/>
        </w:rPr>
      </w:pPr>
      <w:r>
        <w:rPr>
          <w:color w:val="000000"/>
          <w:sz w:val="28"/>
        </w:rPr>
        <w:t xml:space="preserve">Mazkur holatda, sud birinchi instansiya sudi qarorini, shuningdek organning (mansabdor shaxsning) qarorini bekor qilish va ishni maʼmuriy huquqbuzarlik toʻgʻrisida bayonnoma tuzgan organga (mansabdor shaxsga) qaytarishga haqli boʻladi.</w:t>
      </w:r>
    </w:p>
    <w:p>
      <w:pPr>
        <w:jc w:val="both"/>
        <w:shd w:fill="ffffff"/>
        <w:ind w:firstLine="851"/>
        <w:spacing w:line="276" w:lineRule="auto"/>
        <w:rPr>
          <w:color w:val="000000"/>
          <w:sz w:val="28"/>
        </w:rPr>
      </w:pPr>
      <w:r>
        <w:rPr>
          <w:color w:val="000000"/>
          <w:sz w:val="28"/>
        </w:rPr>
        <w:t xml:space="preserve">Bayon etilganlardan kelib chiqib, MJTKning 314 va 324</w:t>
      </w:r>
      <w:r>
        <w:rPr>
          <w:color w:val="000000"/>
          <w:sz w:val="28"/>
          <w:vertAlign w:val="superscript"/>
        </w:rPr>
        <w:t>1</w:t>
      </w:r>
      <w:r>
        <w:rPr>
          <w:color w:val="000000"/>
          <w:sz w:val="28"/>
        </w:rPr>
        <w:t xml:space="preserve">-moddalariga asoslanib, apellyatsiya instansiyasi sudidan</w:t>
      </w:r>
    </w:p>
    <w:p>
      <w:pPr>
        <w:jc w:val="both"/>
        <w:shd w:fill="ffffff"/>
        <w:ind w:firstLine="851"/>
        <w:spacing w:line="276" w:lineRule="auto"/>
        <w:rPr>
          <w:color w:val="000000"/>
          <w:sz w:val="28"/>
        </w:rPr>
      </w:pPr>
    </w:p>
    <w:p>
      <w:pPr>
        <w:jc w:val="center"/>
        <w:shd w:fill="ffffff"/>
        <w:ind w:firstLine="851"/>
        <w:spacing w:line="276" w:lineRule="auto"/>
        <w:rPr>
          <w:b/>
          <w:color w:val="000000"/>
          <w:sz w:val="28"/>
        </w:rPr>
      </w:pPr>
      <w:r>
        <w:rPr>
          <w:b/>
          <w:color w:val="000000"/>
          <w:sz w:val="28"/>
        </w:rPr>
        <w:t>SOʻRAYMAN:</w:t>
      </w:r>
    </w:p>
    <w:p>
      <w:pPr>
        <w:jc w:val="center"/>
        <w:shd w:fill="ffffff"/>
        <w:ind w:firstLine="851"/>
        <w:spacing w:line="276" w:lineRule="auto"/>
        <w:rPr>
          <w:b/>
          <w:color w:val="000000"/>
          <w:sz w:val="28"/>
        </w:rPr>
      </w:pPr>
    </w:p>
    <w:p>
      <w:pPr>
        <w:jc w:val="both"/>
        <w:shd w:fill="ffffff"/>
        <w:ind w:firstLine="851"/>
        <w:spacing w:line="276" w:lineRule="auto"/>
        <w:rPr>
          <w:i/>
          <w:color w:val="000000"/>
          <w:sz w:val="28"/>
        </w:rPr>
      </w:pPr>
      <w:r>
        <w:rPr>
          <w:vanish w:val="false"/>
          <w:sz w:val="28"/>
          <w:rFonts w:ascii="Times New Roman" w:hAnsi="Times New Roman"/>
        </w:rPr>
        <w:fldChar w:fldCharType="begin"/>
        <w:instrText xml:space="preserve">X {"Y":9}</w:instrText>
        <w:fldChar w:fldCharType="separate"/>
        <w:t xml:space="preserve">Birinchi instansiya sudining nomi</w:t>
      </w:r>
      <w:r>
        <w:rPr>
          <w:vanish w:val="false"/>
          <w:sz w:val="28"/>
          <w:rFonts w:ascii="Times New Roman" w:hAnsi="Times New Roman"/>
        </w:rPr>
        <w:fldChar w:fldCharType="end"/>
      </w:r>
      <w:r>
        <w:rPr>
          <w:sz w:val="28"/>
        </w:rPr>
        <w:t xml:space="preserve"> sudining </w:t>
      </w:r>
      <w:r>
        <w:rPr>
          <w:vanish w:val="false"/>
          <w:sz w:val="28"/>
          <w:rFonts w:ascii="Times New Roman" w:hAnsi="Times New Roman"/>
        </w:rPr>
        <w:fldChar w:fldCharType="begin"/>
        <w:instrText xml:space="preserve">X {"Y":10}</w:instrText>
        <w:fldChar w:fldCharType="separate"/>
        <w:t xml:space="preserve">Birinchi instansiya sudi tomonidan maʼmuriy huquqbuzarlik to‘g‘risidagi qarori qabul qilingan sana</w:t>
      </w:r>
      <w:r>
        <w:rPr>
          <w:vanish w:val="false"/>
          <w:sz w:val="28"/>
          <w:rFonts w:ascii="Times New Roman" w:hAnsi="Times New Roman"/>
        </w:rPr>
        <w:fldChar w:fldCharType="end"/>
      </w:r>
      <w:r>
        <w:rPr>
          <w:sz w:val="28"/>
        </w:rPr>
        <w:t xml:space="preserve"> yildagi </w:t>
      </w:r>
      <w:r>
        <w:rPr>
          <w:vanish w:val="false"/>
          <w:sz w:val="28"/>
          <w:rFonts w:ascii="Times New Roman" w:hAnsi="Times New Roman"/>
        </w:rPr>
        <w:fldChar w:fldCharType="begin"/>
        <w:instrText xml:space="preserve">X {"Y":11}</w:instrText>
        <w:fldChar w:fldCharType="separate"/>
        <w:t xml:space="preserve">Birinchi instansiya sudi tomonidan maʼmuriy huquqbuzarlik to‘g‘risidagi qarori raqami</w:t>
      </w:r>
      <w:r>
        <w:rPr>
          <w:vanish w:val="false"/>
          <w:sz w:val="28"/>
          <w:rFonts w:ascii="Times New Roman" w:hAnsi="Times New Roman"/>
        </w:rPr>
        <w:fldChar w:fldCharType="end"/>
      </w:r>
      <w:r>
        <w:rPr>
          <w:sz w:val="28"/>
        </w:rPr>
        <w:t xml:space="preserve">-sonli maʼmuriy huquqbuzarlik toʻgʻrisidagi qarorini</w:t>
      </w:r>
      <w:r>
        <w:rPr>
          <w:color w:val="000000"/>
          <w:sz w:val="28"/>
        </w:rPr>
        <w:t xml:space="preserve"> bekor qilishingizni va </w:t>
      </w:r>
      <w:r>
        <w:rPr>
          <w:vanish w:val="false"/>
          <w:color w:val="000000"/>
          <w:sz w:val="28"/>
          <w:rFonts w:ascii="Times New Roman" w:hAnsi="Times New Roman"/>
        </w:rPr>
        <w:fldChar w:fldCharType="begin"/>
        <w:instrText xml:space="preserve">X {"Y":18}</w:instrText>
        <w:fldChar w:fldCharType="separate"/>
        <w:t xml:space="preserve">Shikoyat berayotgan shaxsning iltimosi (maʼmuriy huquqbuzarlik to‘g‘risidagi qarorni qanday mazmunda o‘zgartirish, (butunlay yoki qisman) bekor qilish)</w:t>
      </w:r>
      <w:r>
        <w:rPr>
          <w:vanish w:val="false"/>
          <w:color w:val="000000"/>
          <w:sz w:val="28"/>
          <w:rFonts w:ascii="Times New Roman" w:hAnsi="Times New Roman"/>
        </w:rPr>
        <w:fldChar w:fldCharType="end"/>
      </w:r>
      <w:r>
        <w:rPr>
          <w:color w:val="000000"/>
          <w:sz w:val="28"/>
        </w:rPr>
        <w:t>ni.</w:t>
      </w:r>
    </w:p>
    <w:p>
      <w:pPr>
        <w:jc w:val="both"/>
        <w:shd w:fill="ffffff"/>
        <w:ind w:firstLine="851"/>
        <w:spacing w:line="276" w:lineRule="auto"/>
        <w:rPr>
          <w:color w:val="000000"/>
          <w:sz w:val="28"/>
        </w:rPr>
      </w:pPr>
    </w:p>
    <w:p>
      <w:pPr>
        <w:jc w:val="both"/>
        <w:shd w:fill="ffffff"/>
        <w:ind w:firstLine="851"/>
        <w:spacing w:line="276" w:lineRule="auto"/>
        <w:rPr>
          <w:color w:val="000000"/>
          <w:sz w:val="28"/>
        </w:rPr>
      </w:pPr>
      <w:r>
        <w:rPr>
          <w:color w:val="000000"/>
          <w:sz w:val="28"/>
        </w:rPr>
        <w:t xml:space="preserve">Ilova: </w:t>
      </w:r>
    </w:p>
    <w:p>
      <w:pPr>
        <w:jc w:val="both"/>
        <w:shd w:fill="ffffff"/>
        <w:ind w:firstLine="851"/>
        <w:spacing w:line="276" w:lineRule="auto"/>
        <w:rPr>
          <w:color w:val="000000"/>
          <w:sz w:val="28"/>
        </w:rPr>
      </w:pPr>
      <w:r>
        <w:rPr>
          <w:color w:val="000000"/>
          <w:sz w:val="28"/>
        </w:rPr>
        <w:t>1</w:t>
      </w:r>
      <w:bookmarkStart w:id="4" w:name="3525771"/>
      <w:r>
        <w:rPr>
          <w:color w:val="000000"/>
          <w:sz w:val="28"/>
        </w:rPr>
        <w:t xml:space="preserve">.Davlat boji toʻlanganligini tasdiqlovchi hujjat;</w:t>
      </w:r>
      <w:bookmarkEnd w:id="4"/>
    </w:p>
    <w:p>
      <w:pPr>
        <w:jc w:val="both"/>
        <w:shd w:fill="ffffff"/>
        <w:ind w:firstLine="851"/>
        <w:spacing w:line="276" w:lineRule="auto"/>
        <w:rPr>
          <w:color w:val="000000"/>
          <w:sz w:val="28"/>
        </w:rPr>
      </w:pPr>
      <w:r>
        <w:rPr>
          <w:color w:val="000000"/>
          <w:sz w:val="28"/>
        </w:rPr>
        <w:t xml:space="preserve">2. Apellyatsiya shikoyati nusxalari.</w:t>
      </w:r>
    </w:p>
    <w:p>
      <w:pPr>
        <w:jc w:val="both"/>
        <w:shd w:fill="ffffff"/>
        <w:ind w:firstLine="851"/>
        <w:spacing w:line="276" w:lineRule="auto"/>
        <w:rPr>
          <w:color w:val="000000"/>
          <w:sz w:val="28"/>
        </w:rPr>
      </w:pPr>
      <w:bookmarkStart w:id="5" w:name="3525772"/>
      <w:r>
        <w:rPr>
          <w:color w:val="000000"/>
          <w:sz w:val="28"/>
        </w:rPr>
        <w:t xml:space="preserve">3.Apellyatsiya shikoyati vakil tomonidan imzolangan taqdirda — uni imzolashga vakilning vakolatlarini tasdiqlovchi hujjat.</w:t>
      </w:r>
      <w:bookmarkEnd w:id="5"/>
    </w:p>
    <w:p>
      <w:pPr>
        <w:jc w:val="both"/>
        <w:shd w:fill="ffffff"/>
        <w:ind w:firstLine="851"/>
        <w:spacing w:line="276" w:lineRule="auto"/>
        <w:rPr>
          <w:color w:val="000000"/>
          <w:sz w:val="28"/>
        </w:rPr>
      </w:pPr>
      <w:r>
        <w:rPr>
          <w:color w:val="000000"/>
          <w:sz w:val="28"/>
        </w:rPr>
        <w:t xml:space="preserve">4. Apellyatsiya shikoyatidagi vajlarini tasdiqlovchi, ilgari  sudga taqdim qilinmagan boshqa hujjatlar.</w:t>
      </w:r>
    </w:p>
    <w:p>
      <w:pPr>
        <w:jc w:val="both"/>
        <w:shd w:fill="ffffff"/>
        <w:ind w:firstLine="851"/>
        <w:spacing w:line="276" w:lineRule="auto"/>
        <w:rPr>
          <w:color w:val="000000"/>
          <w:sz w:val="28"/>
        </w:rPr>
      </w:pPr>
    </w:p>
    <w:tbl>
      <w:tblPr>
        <w:tblStyle w:val="a5"/>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7"/>
        <w:gridCol w:w="1748"/>
        <w:gridCol w:w="2930"/>
      </w:tblGrid>
      <w:tr>
        <w:tc>
          <w:tcPr>
            <w:tcW w:w="2500" w:type="pct"/>
          </w:tcPr>
          <w:p>
            <w:pPr>
              <w:jc w:val="both"/>
              <w:spacing w:line="276" w:lineRule="auto"/>
              <w:rPr>
                <w:color w:val="000000"/>
                <w:sz w:val="28"/>
              </w:rPr>
            </w:pPr>
            <w:r>
              <w:rPr>
                <w:color w:val="000000"/>
                <w:sz w:val="28"/>
              </w:rPr>
              <w:t xml:space="preserve">Apellatsiya beruvchi shaxs: </w:t>
            </w:r>
            <w:r>
              <w:rPr>
                <w:vanish w:val="false"/>
                <w:color w:val="000000"/>
                <w:sz w:val="28"/>
                <w:rFonts w:ascii="Times New Roman" w:hAnsi="Times New Roman"/>
              </w:rPr>
              <w:fldChar w:fldCharType="begin"/>
              <w:instrText xml:space="preserve">X {"Y":5}</w:instrText>
              <w:fldChar w:fldCharType="separate"/>
              <w:t xml:space="preserve">Apellyatsiya shikoyati beruvchi shaxsning F.I.Sh.i</w:t>
            </w:r>
            <w:r>
              <w:rPr>
                <w:vanish w:val="false"/>
                <w:color w:val="000000"/>
                <w:sz w:val="28"/>
                <w:rFonts w:ascii="Times New Roman" w:hAnsi="Times New Roman"/>
              </w:rPr>
              <w:fldChar w:fldCharType="end"/>
            </w:r>
          </w:p>
        </w:tc>
        <w:tc>
          <w:tcPr>
            <w:tcW w:w="934" w:type="pct"/>
          </w:tcPr>
          <w:p>
            <w:pPr>
              <w:jc w:val="center"/>
              <w:spacing w:line="276" w:lineRule="auto"/>
              <w:rPr>
                <w:color w:val="000000"/>
                <w:sz w:val="28"/>
              </w:rPr>
            </w:pPr>
            <w:r>
              <w:rPr>
                <w:color w:val="000000"/>
                <w:sz w:val="28"/>
              </w:rPr>
              <w:t>______</w:t>
            </w:r>
          </w:p>
        </w:tc>
        <w:tc>
          <w:tcPr>
            <w:tcW w:w="1566" w:type="pct"/>
          </w:tcPr>
          <w:p>
            <w:pPr>
              <w:jc w:val="right"/>
              <w:spacing w:line="276" w:lineRule="auto"/>
              <w:rPr>
                <w:u w:val="single"/>
                <w:color w:val="000000"/>
                <w:sz w:val="28"/>
              </w:rPr>
            </w:pPr>
            <w:r>
              <w:rPr>
                <w:vanish w:val="false"/>
                <w:color w:val="000000"/>
                <w:sz w:val="28"/>
                <w:rFonts w:ascii="Times New Roman" w:hAnsi="Times New Roman"/>
              </w:rPr>
              <w:fldChar w:fldCharType="begin"/>
              <w:instrText xml:space="preserve">X {"Y":3}</w:instrText>
              <w:fldChar w:fldCharType="separate"/>
              <w:t xml:space="preserve">Appelyatsiya shikoyati berilgan sana</w:t>
            </w:r>
            <w:r>
              <w:rPr>
                <w:vanish w:val="false"/>
                <w:color w:val="000000"/>
                <w:sz w:val="28"/>
                <w:rFonts w:ascii="Times New Roman" w:hAnsi="Times New Roman"/>
              </w:rPr>
              <w:fldChar w:fldCharType="end"/>
            </w:r>
          </w:p>
        </w:tc>
      </w:tr>
      <w:tr>
        <w:tc>
          <w:tcPr>
            <w:tcW w:w="2500" w:type="pct"/>
          </w:tcPr>
          <w:p>
            <w:pPr>
              <w:jc w:val="center"/>
              <w:spacing w:line="276" w:lineRule="auto"/>
              <w:rPr>
                <w:sz w:val="28"/>
              </w:rPr>
            </w:pPr>
          </w:p>
        </w:tc>
        <w:tc>
          <w:tcPr>
            <w:tcW w:w="934" w:type="pct"/>
          </w:tcPr>
          <w:p>
            <w:pPr>
              <w:jc w:val="center"/>
              <w:spacing w:line="276" w:lineRule="auto"/>
              <w:rPr>
                <w:i/>
                <w:sz w:val="28"/>
              </w:rPr>
            </w:pPr>
            <w:r>
              <w:rPr>
                <w:i/>
                <w:sz w:val="28"/>
              </w:rPr>
              <w:t>imzo</w:t>
            </w:r>
          </w:p>
        </w:tc>
        <w:tc>
          <w:tcPr>
            <w:tcW w:w="1566" w:type="pct"/>
          </w:tcPr>
          <w:p>
            <w:pPr>
              <w:jc w:val="center"/>
              <w:spacing w:line="276" w:lineRule="auto"/>
              <w:rPr>
                <w:sz w:val="28"/>
              </w:rPr>
            </w:pPr>
          </w:p>
        </w:tc>
      </w:tr>
    </w:tbl>
    <w:p>
      <w:pPr>
        <w:jc w:val="center"/>
        <w:spacing w:line="276" w:lineRule="auto"/>
        <w:rPr>
          <w:sz w:val="28"/>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2"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25590"/>
    <w:rsid w:val="0002623A"/>
    <w:rsid w:val="00032D1D"/>
    <w:rsid w:val="0005726F"/>
    <w:rsid w:val="000B0C3D"/>
    <w:rsid w:val="000B5A53"/>
    <w:rsid w:val="000C5C52"/>
    <w:rsid w:val="000E6980"/>
    <w:rsid w:val="000F62F9"/>
    <w:rsid w:val="00141706"/>
    <w:rsid w:val="001474D5"/>
    <w:rsid w:val="00176551"/>
    <w:rsid w:val="001B5715"/>
    <w:rsid w:val="001C4098"/>
    <w:rsid w:val="001D656C"/>
    <w:rsid w:val="00201195"/>
    <w:rsid w:val="00204655"/>
    <w:rsid w:val="0020570C"/>
    <w:rsid w:val="00230490"/>
    <w:rsid w:val="002578BC"/>
    <w:rsid w:val="002670BB"/>
    <w:rsid w:val="0027514F"/>
    <w:rsid w:val="00282A7C"/>
    <w:rsid w:val="002862E2"/>
    <w:rsid w:val="002A57A5"/>
    <w:rsid w:val="002B1D0B"/>
    <w:rsid w:val="002B7AC3"/>
    <w:rsid w:val="002C72AC"/>
    <w:rsid w:val="00320FD4"/>
    <w:rsid w:val="003221EF"/>
    <w:rsid w:val="003404EA"/>
    <w:rsid w:val="00356F8F"/>
    <w:rsid w:val="00391C56"/>
    <w:rsid w:val="003B505F"/>
    <w:rsid w:val="003E7B07"/>
    <w:rsid w:val="003F2E5B"/>
    <w:rsid w:val="003F6464"/>
    <w:rsid w:val="003F7EFA"/>
    <w:rsid w:val="00424855"/>
    <w:rsid w:val="00443F81"/>
    <w:rsid w:val="00445B2F"/>
    <w:rsid w:val="00446B12"/>
    <w:rsid w:val="00484D86"/>
    <w:rsid w:val="0048534F"/>
    <w:rsid w:val="004A1C01"/>
    <w:rsid w:val="004A1F3D"/>
    <w:rsid w:val="004A60FF"/>
    <w:rsid w:val="004E0B9A"/>
    <w:rsid w:val="004F41E4"/>
    <w:rsid w:val="00502AC0"/>
    <w:rsid w:val="00510D6E"/>
    <w:rsid w:val="00524CEF"/>
    <w:rsid w:val="005266F5"/>
    <w:rsid w:val="00537FE9"/>
    <w:rsid w:val="00541B38"/>
    <w:rsid w:val="00563BBA"/>
    <w:rsid w:val="005B4774"/>
    <w:rsid w:val="005E04F5"/>
    <w:rsid w:val="006132E6"/>
    <w:rsid w:val="00622525"/>
    <w:rsid w:val="00635D90"/>
    <w:rsid w:val="00683D2C"/>
    <w:rsid w:val="0069197C"/>
    <w:rsid w:val="006A5488"/>
    <w:rsid w:val="006A6D38"/>
    <w:rsid w:val="006B53C3"/>
    <w:rsid w:val="006C2512"/>
    <w:rsid w:val="006E754F"/>
    <w:rsid w:val="006F3A5C"/>
    <w:rsid w:val="006F57B9"/>
    <w:rsid w:val="00742DB0"/>
    <w:rsid w:val="007434A8"/>
    <w:rsid w:val="00787BD8"/>
    <w:rsid w:val="007960D7"/>
    <w:rsid w:val="007A525A"/>
    <w:rsid w:val="007C2B65"/>
    <w:rsid w:val="007D15EC"/>
    <w:rsid w:val="007D5088"/>
    <w:rsid w:val="007E6B2F"/>
    <w:rsid w:val="00825912"/>
    <w:rsid w:val="008333B6"/>
    <w:rsid w:val="0084138B"/>
    <w:rsid w:val="00854EA8"/>
    <w:rsid w:val="00890C6E"/>
    <w:rsid w:val="008921FC"/>
    <w:rsid w:val="008C7B65"/>
    <w:rsid w:val="008D6F6B"/>
    <w:rsid w:val="008E6CEE"/>
    <w:rsid w:val="008F0716"/>
    <w:rsid w:val="00901103"/>
    <w:rsid w:val="009128FD"/>
    <w:rsid w:val="0091445D"/>
    <w:rsid w:val="00920834"/>
    <w:rsid w:val="0092718F"/>
    <w:rsid w:val="00930DA8"/>
    <w:rsid w:val="0094115E"/>
    <w:rsid w:val="009728F4"/>
    <w:rsid w:val="009962D5"/>
    <w:rsid w:val="009B24F1"/>
    <w:rsid w:val="009F0258"/>
    <w:rsid w:val="00A16408"/>
    <w:rsid w:val="00A369EA"/>
    <w:rsid w:val="00A5777D"/>
    <w:rsid w:val="00A62211"/>
    <w:rsid w:val="00A702D8"/>
    <w:rsid w:val="00A75C64"/>
    <w:rsid w:val="00A7658E"/>
    <w:rsid w:val="00AA2518"/>
    <w:rsid w:val="00AB2157"/>
    <w:rsid w:val="00AB7727"/>
    <w:rsid w:val="00AC768E"/>
    <w:rsid w:val="00AE4ED8"/>
    <w:rsid w:val="00AE6529"/>
    <w:rsid w:val="00B42273"/>
    <w:rsid w:val="00B50652"/>
    <w:rsid w:val="00B55330"/>
    <w:rsid w:val="00B647F6"/>
    <w:rsid w:val="00B912FA"/>
    <w:rsid w:val="00BA58C4"/>
    <w:rsid w:val="00BB5E34"/>
    <w:rsid w:val="00BC642B"/>
    <w:rsid w:val="00BD394C"/>
    <w:rsid w:val="00C14BA2"/>
    <w:rsid w:val="00C16921"/>
    <w:rsid w:val="00C22B99"/>
    <w:rsid w:val="00C47B44"/>
    <w:rsid w:val="00C92F02"/>
    <w:rsid w:val="00CE6A23"/>
    <w:rsid w:val="00D27BFC"/>
    <w:rsid w:val="00D87B8A"/>
    <w:rsid w:val="00DA4BDB"/>
    <w:rsid w:val="00DB0048"/>
    <w:rsid w:val="00DD4E37"/>
    <w:rsid w:val="00E134A1"/>
    <w:rsid w:val="00E40979"/>
    <w:rsid w:val="00E66A16"/>
    <w:rsid w:val="00E66BA2"/>
    <w:rsid w:val="00E757DE"/>
    <w:rsid w:val="00EB747F"/>
    <w:rsid w:val="00F744D9"/>
    <w:rsid w:val="00F81E9C"/>
    <w:rsid w:val="00FA4D0D"/>
    <w:rsid w:val="00FB2177"/>
    <w:rsid w:val="00FB5D6B"/>
    <w:rsid w:val="00FC2D44"/>
    <w:rsid w:val="00FC4676"/>
    <w:rsid w:val="00FE5E99"/>
    <w:rsid w:val="00FE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DAAF582-E2B2-47E8-8031-C45D1214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table" w:styleId="a5">
    <w:name w:val="Table Grid"/>
    <w:basedOn w:val="a1"/>
    <w:rsid w:val="00FA4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634876786">
      <w:bodyDiv w:val="1"/>
      <w:marLeft w:val="0"/>
      <w:marRight w:val="0"/>
      <w:marTop w:val="0"/>
      <w:marBottom w:val="0"/>
      <w:divBdr>
        <w:top w:val="none" w:sz="0" w:space="0" w:color="auto"/>
        <w:left w:val="none" w:sz="0" w:space="0" w:color="auto"/>
        <w:bottom w:val="none" w:sz="0" w:space="0" w:color="auto"/>
        <w:right w:val="none" w:sz="0" w:space="0" w:color="auto"/>
      </w:divBdr>
      <w:divsChild>
        <w:div w:id="305820750">
          <w:marLeft w:val="0"/>
          <w:marRight w:val="0"/>
          <w:marTop w:val="0"/>
          <w:marBottom w:val="150"/>
          <w:divBdr>
            <w:top w:val="none" w:sz="0" w:space="0" w:color="auto"/>
            <w:left w:val="none" w:sz="0" w:space="0" w:color="auto"/>
            <w:bottom w:val="none" w:sz="0" w:space="0" w:color="auto"/>
            <w:right w:val="none" w:sz="0" w:space="0" w:color="auto"/>
          </w:divBdr>
        </w:div>
        <w:div w:id="111555810">
          <w:marLeft w:val="0"/>
          <w:marRight w:val="0"/>
          <w:marTop w:val="0"/>
          <w:marBottom w:val="150"/>
          <w:divBdr>
            <w:top w:val="none" w:sz="0" w:space="0" w:color="auto"/>
            <w:left w:val="none" w:sz="0" w:space="0" w:color="auto"/>
            <w:bottom w:val="none" w:sz="0" w:space="0" w:color="auto"/>
            <w:right w:val="none" w:sz="0" w:space="0" w:color="auto"/>
          </w:divBdr>
        </w:div>
        <w:div w:id="1509831637">
          <w:marLeft w:val="0"/>
          <w:marRight w:val="0"/>
          <w:marTop w:val="0"/>
          <w:marBottom w:val="150"/>
          <w:divBdr>
            <w:top w:val="none" w:sz="0" w:space="0" w:color="auto"/>
            <w:left w:val="none" w:sz="0" w:space="0" w:color="auto"/>
            <w:bottom w:val="none" w:sz="0" w:space="0" w:color="auto"/>
            <w:right w:val="none" w:sz="0" w:space="0" w:color="auto"/>
          </w:divBdr>
        </w:div>
        <w:div w:id="386613433">
          <w:marLeft w:val="0"/>
          <w:marRight w:val="0"/>
          <w:marTop w:val="0"/>
          <w:marBottom w:val="150"/>
          <w:divBdr>
            <w:top w:val="none" w:sz="0" w:space="0" w:color="auto"/>
            <w:left w:val="none" w:sz="0" w:space="0" w:color="auto"/>
            <w:bottom w:val="none" w:sz="0" w:space="0" w:color="auto"/>
            <w:right w:val="none" w:sz="0" w:space="0" w:color="auto"/>
          </w:divBdr>
        </w:div>
        <w:div w:id="123232881">
          <w:marLeft w:val="0"/>
          <w:marRight w:val="0"/>
          <w:marTop w:val="0"/>
          <w:marBottom w:val="150"/>
          <w:divBdr>
            <w:top w:val="none" w:sz="0" w:space="0" w:color="auto"/>
            <w:left w:val="none" w:sz="0" w:space="0" w:color="auto"/>
            <w:bottom w:val="none" w:sz="0" w:space="0" w:color="auto"/>
            <w:right w:val="none" w:sz="0" w:space="0" w:color="auto"/>
          </w:divBdr>
        </w:div>
        <w:div w:id="811288296">
          <w:marLeft w:val="0"/>
          <w:marRight w:val="0"/>
          <w:marTop w:val="0"/>
          <w:marBottom w:val="150"/>
          <w:divBdr>
            <w:top w:val="none" w:sz="0" w:space="0" w:color="auto"/>
            <w:left w:val="none" w:sz="0" w:space="0" w:color="auto"/>
            <w:bottom w:val="none" w:sz="0" w:space="0" w:color="auto"/>
            <w:right w:val="none" w:sz="0" w:space="0" w:color="auto"/>
          </w:divBdr>
        </w:div>
        <w:div w:id="1249076212">
          <w:marLeft w:val="0"/>
          <w:marRight w:val="0"/>
          <w:marTop w:val="0"/>
          <w:marBottom w:val="15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757</Words>
  <Characters>4318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2</cp:revision>
  <dcterms:created xsi:type="dcterms:W3CDTF">2022-08-26T14:05:00Z</dcterms:created>
  <dcterms:modified xsi:type="dcterms:W3CDTF">2022-08-26T14:05:00Z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Apellyatsiya shikoyati rekvizitlari</w:name>
    <w:value w:hidden="true">
      <w:unit w:active="false"/>
    </w:value>
  </w:element>
  <w:element w:id="2" w:kind="variable" w:selector="check" w:type="string" w:valueMode="normal" w:required="false" w:groupID="1">
    <w:identifier xml:space="preserve">ID2</w:identifier>
    <w:name xml:space="preserve">Appelyatsiya shikoyati berilgan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Appelyatsiya shikoyati berilgan sana</w:name>
    <w:value w:hidden="false">
      <w:unit w:active="false"/>
    </w:value>
  </w:element>
  <w:element w:id="4" w:kind="category" w:selector="check" w:type="string" w:valueMode="normal" w:required="false">
    <w:identifier xml:space="preserve">ID4</w:identifier>
    <w:name xml:space="preserve">II. Daʼvogar</w:name>
    <w:value w:hidden="true">
      <w:unit w:active="false"/>
    </w:value>
  </w:element>
  <w:element w:id="5" w:kind="variable" w:selector="check" w:type="string" w:valueMode="normal" w:required="false" w:groupID="4">
    <w:identifier xml:space="preserve">ID5</w:identifier>
    <w:name xml:space="preserve">Apellyatsiya shikoyati beruvchi shaxsning F.I.Sh.i</w:name>
    <w:value w:hidden="false">
      <w:unit w:active="false"/>
    </w:value>
  </w:element>
  <w:element w:id="6" w:kind="variable" w:selector="check" w:type="string" w:valueMode="normal" w:required="false" w:groupID="4">
    <w:identifier xml:space="preserve">ID6</w:identifier>
    <w:name xml:space="preserve">Apellyatsiya shikoyati beruvchi shaxsning F.I.Sh.i</w:name>
    <w:comment xml:space="preserve">Izoh: Viloyat, tuman (shahar), mahala, ko‘cha nomi va uy raqami to‘liq ko‘rsatiladi</w:comment>
    <w:value w:hidden="false">
      <w:unit w:active="false"/>
    </w:value>
  </w:element>
  <w:element w:id="7" w:kind="variable" w:selector="check" w:type="number" w:valueMode="normal" w:required="false" w:groupID="4">
    <w:identifier xml:space="preserve">ID7</w:identifier>
    <w:name xml:space="preserve">Apellyatsiya shikoyati beruvchi shaxsning telefon raqami</w:name>
    <w:value w:hidden="false">
      <w:unit w:active="false"/>
    </w:value>
  </w:element>
  <w:element w:id="8" w:kind="category" w:selector="check" w:type="string" w:valueMode="normal" w:required="false">
    <w:identifier xml:space="preserve">ID8</w:identifier>
    <w:name xml:space="preserve">III. Apellyatsiya shikoyati mazmuni</w:name>
    <w:value w:hidden="true">
      <w:unit w:active="false"/>
    </w:value>
  </w:element>
  <w:element w:id="9" w:kind="variable" w:selector="check" w:type="string" w:valueMode="normal" w:required="false" w:groupID="8">
    <w:identifier xml:space="preserve">ID9</w:identifier>
    <w:name xml:space="preserve">Birinchi instansiya sudining nomi</w:name>
    <w:value w:hidden="false">
      <w:unit w:active="false"/>
      <w:binding w:dataSource="2" w:column="court_name" w:search="false"/>
    </w:value>
  </w:element>
  <w:element w:id="10" w:kind="variable" w:selector="check" w:type="date" w:valueMode="normal" w:required="false" w:groupID="8">
    <w:identifier xml:space="preserve">ID10</w:identifier>
    <w:name xml:space="preserve">Birinchi instansiya sudi tomonidan maʼmuriy huquqbuzarlik to‘g‘risidagi qarori qabul qilingan sana</w:name>
    <w:value w:hidden="false">
      <w:unit w:active="false"/>
    </w:value>
  </w:element>
  <w:element w:id="11" w:kind="variable" w:selector="check" w:type="number" w:valueMode="normal" w:required="false" w:groupID="8">
    <w:identifier xml:space="preserve">ID11</w:identifier>
    <w:name xml:space="preserve">Birinchi instansiya sudi tomonidan maʼmuriy huquqbuzarlik to‘g‘risidagi qarori raqami</w:name>
    <w:value w:hidden="false">
      <w:unit w:active="false"/>
    </w:value>
  </w:element>
  <w:element w:id="12" w:kind="variable" w:selector="check" w:type="string" w:valueMode="normal" w:required="false" w:groupID="8">
    <w:identifier xml:space="preserve">ID12</w:identifier>
    <w:name xml:space="preserve">Apellyatsiya beruvchi shaxsning daʼvo arizasida ko‘rsatgan dalilari</w:name>
    <w:value w:hidden="false">
      <w:unit w:active="false"/>
    </w:value>
  </w:element>
  <w:element w:id="13" w:kind="variable" w:selector="check" w:type="string" w:valueMode="normal" w:required="false" w:groupID="8">
    <w:identifier xml:space="preserve">ID13</w:identifier>
    <w:name xml:space="preserve">Apellyatsiya beruvchi shaxsning daʼvo arizasida ko‘rsatgan vajlari</w:name>
    <w:value w:hidden="false">
      <w:unit w:active="false"/>
    </w:value>
  </w:element>
  <w:element w:id="14" w:kind="variable" w:selector="check" w:type="string" w:valueMode="normal" w:required="false" w:groupID="8">
    <w:identifier xml:space="preserve">ID14</w:identifier>
    <w:name xml:space="preserve">Apellyatsiya beruvchi shaxsning daʼvo talablarining asoslari</w:name>
    <w:value w:hidden="false">
      <w:unit w:active="false"/>
    </w:value>
  </w:element>
  <w:element w:id="15" w:kind="variable" w:selector="check" w:type="string" w:valueMode="normal" w:required="false" w:groupID="8">
    <w:identifier xml:space="preserve">ID15</w:identifier>
    <w:name xml:space="preserve">Apellyatsiya beruvchi shaxsning vajlari sud majlisida ko‘rsatgan qo‘shimcha vajlari</w:name>
    <w:value w:hidden="false">
      <w:unit w:active="false"/>
    </w:value>
  </w:element>
  <w:element w:id="16" w:kind="variable" w:selector="check" w:type="string" w:valueMode="normal" w:required="false" w:groupID="8">
    <w:identifier xml:space="preserve">ID16</w:identifier>
    <w:name xml:space="preserve">Apellyatsiya beruvchi shaxsning sud inobatga olmagan deb xulosaga kelishiga sabab bo‘lgan asoslar</w:name>
    <w:value w:hidden="false">
      <w:unit w:active="false"/>
    </w:value>
  </w:element>
  <w:element w:id="17" w:kind="variable" w:selector="check" w:type="string" w:valueMode="normal" w:required="false" w:groupID="8">
    <w:identifier xml:space="preserve">ID17</w:identifier>
    <w:name xml:space="preserve">Sud qaysi normalarni buzgan va noto‘g‘ri qo‘llanganligi</w:name>
    <w:value w:hidden="false">
      <w:unit w:active="false"/>
    </w:value>
  </w:element>
  <w:element w:id="18" w:kind="variable" w:selector="check" w:type="string" w:valueMode="normal" w:required="false" w:groupID="8">
    <w:identifier xml:space="preserve">ID18</w:identifier>
    <w:name xml:space="preserve">Shikoyat berayotgan shaxsning iltimosi (maʼmuriy huquqbuzarlik to‘g‘risidagi qarorni qanday mazmunda o‘zgartirish, (butunlay yoki qisman) bekor qilish)</w:name>
    <w:value w:hidden="false">
      <w:unit w:active="false"/>
    </w:value>
  </w:element>
</w:structure>
</file>