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5610"/>
        <w:gridCol w:w="3702"/>
        <w:gridCol w:w="5258"/>
      </w:tblGrid>
      <w:tr>
        <w:trPr>
          <w:trHeight w:val="2109"/>
        </w:trPr>
        <w:tc>
          <w:tcPr>
            <w:tcW w:w="5688" w:type="dxa"/>
            <w:shd w:fill="auto"/>
          </w:tcPr>
          <w:p>
            <w:pPr>
              <w:jc w:val="center"/>
              <w:rPr>
                <w:b/>
                <w:rFonts w:ascii="Times New Roman" w:hAnsi="Times New Roman"/>
              </w:rPr>
            </w:pPr>
            <w:r>
              <w:rPr>
                <w:b/>
                <w:sz w:val="24"/>
              </w:rPr>
              <w:t>“KELISHILDI”</w:t>
            </w:r>
          </w:p>
          <w:p>
            <w:pPr>
              <w:jc w:val="both"/>
              <w:ind w:left="360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  <w:t xml:space="preserve">Taʼtillar jadvalini kelishayotgan shaxs ish joyining nomi va tashkiliy huquqiy shakli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ind w:left="360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Taʼtillar jadvalini kelishayotgan shaxs ishlaydigan boʻlim nomi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ind w:left="360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Taʼtillar jadvalini kelishayotgan shaxs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Taʼtillar jadvalini kelishayotgan shaxs F.I.O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Jadval tuzilgan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780" w:type="dxa"/>
            <w:shd w:fill="auto"/>
          </w:tcPr>
          <w:p>
            <w:pPr>
              <w:rPr>
                <w:b/>
                <w:sz w:val="24"/>
              </w:rPr>
            </w:pPr>
          </w:p>
        </w:tc>
        <w:tc>
          <w:tcPr>
            <w:tcW w:w="5318" w:type="dxa"/>
            <w:shd w:fill="auto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</w:rPr>
              <w:t xml:space="preserve"> “TASDIQLAYMAN”</w:t>
            </w:r>
          </w:p>
          <w:p>
            <w:pPr>
              <w:jc w:val="both"/>
              <w:ind w:left="360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  <w:t xml:space="preserve">Jadvalni tasdiqlayotgan shaxs ish joyining nomi va tashkiliy huquqiy shakli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Jadvalni tasdiqlayotgan shaxs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  <w:instrText xml:space="preserve">X {"Y":11}</w:instrText>
              <w:fldChar w:fldCharType="separate"/>
              <w:t xml:space="preserve">Jadvalni tasdiqlayotgan shaxs F.I.O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  <w:p>
            <w:pPr>
              <w:jc w:val="center"/>
              <w:ind w:left="360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Jadval tuzilgan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ind w:left="1069" w:firstLine="349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Jadvalni tasdiqlayotgan shaxs ish joyining nomi va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 </w:t>
      </w:r>
      <w:r>
        <w:rPr>
          <w:b/>
          <w:sz w:val="24"/>
        </w:rPr>
        <w:t xml:space="preserve">xodimlarining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Jadval qaysi yilga moʻljallab tuzilgan?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-</w:t>
      </w:r>
      <w:r>
        <w:rPr>
          <w:b/>
          <w:sz w:val="24"/>
        </w:rPr>
        <w:t xml:space="preserve">yil davomida mehnat taʼtiliga chiqarish boʻyicha</w:t>
      </w:r>
    </w:p>
    <w:p>
      <w:pPr>
        <w:rPr>
          <w:b/>
          <w:sz w:val="24"/>
        </w:rPr>
      </w:pPr>
      <w:r>
        <w:rPr>
          <w:b/>
          <w:sz w:val="24"/>
        </w:rPr>
      </w: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TAʼTILLAR JADVALI</w:t>
      </w:r>
    </w:p>
    <w:p>
      <w:pPr>
        <w:ind w:firstLine="570"/>
        <w:rPr>
          <w:b/>
          <w:sz w:val="24"/>
        </w:rPr>
      </w:pPr>
    </w:p>
    <w:tbl>
      <w:tblPr>
        <w:tblW w:w="5000" w:type="pct"/>
        <w:jc w:val="center"/>
        <w:tblBorders>
          <w:left w:sz="4" w:space="0" w:color="auto" w:val="single"/>
          <w:top w:sz="4" w:space="0" w:color="auto" w:val="single"/>
          <w:right w:sz="4" w:space="0" w:color="auto" w:val="single"/>
          <w:bottom w:sz="4" w:space="0" w:color="auto" w:val="single"/>
          <w:insideH w:sz="4" w:space="0" w:color="auto" w:val="single"/>
          <w:insideV w:sz="4" w:space="0" w:color="auto" w:val="single"/>
        </w:tblBorders>
        <w:tblCellMar>
          <w:left w:w="0" w:type="dxa"/>
          <w:right w:w="0" w:type="dxa"/>
        </w:tblCellMar>
      </w:tblPr>
      <w:tblGrid>
        <w:gridCol w:w="1397"/>
        <w:gridCol w:w="1835"/>
        <w:gridCol w:w="1689"/>
        <w:gridCol w:w="1137"/>
        <w:gridCol w:w="1398"/>
        <w:gridCol w:w="2126"/>
        <w:gridCol w:w="1689"/>
        <w:gridCol w:w="1306"/>
        <w:gridCol w:w="1983"/>
      </w:tblGrid>
      <w:tr>
        <w:trPr>
          <w:trHeight w:val="15"/>
          <w:jc w:val="center"/>
        </w:trPr>
        <w:tc>
          <w:tcPr>
            <w:tcW w:w="480" w:type="pct"/>
            <w:vMerge w:val="restart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Tarkibiy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boʻlinma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630" w:type="pct"/>
            <w:vMerge w:val="restart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Shtat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jadvali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boʻyicha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lavozimi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580" w:type="pct"/>
            <w:vMerge w:val="restart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F.I.O.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390" w:type="pct"/>
            <w:vMerge w:val="restart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Tabel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raqami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2919" w:type="pct"/>
            <w:gridSpan w:val="5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Taʼtil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</w:tr>
      <w:tr>
        <w:trPr>
          <w:trHeight w:val="60"/>
          <w:jc w:val="center"/>
        </w:trPr>
        <w:tc>
          <w:tcPr>
            <w:tcW w:w="480" w:type="pct"/>
            <w:vMerge w:val="continue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630" w:type="pct"/>
            <w:vMerge w:val="continue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580" w:type="pct"/>
            <w:vMerge w:val="continue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90" w:type="pct"/>
            <w:vMerge w:val="continue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480" w:type="pct"/>
            <w:vMerge w:val="restart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kunlar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soni (ish,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kalendar)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1310" w:type="pct"/>
            <w:gridSpan w:val="2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sana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1129" w:type="pct"/>
            <w:gridSpan w:val="2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taʼtilni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koʻchirish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</w:tr>
      <w:tr>
        <w:trPr>
          <w:trHeight w:val="60"/>
          <w:jc w:val="center"/>
        </w:trPr>
        <w:tc>
          <w:tcPr>
            <w:tcW w:w="480" w:type="pct"/>
            <w:vMerge w:val="continue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630" w:type="pct"/>
            <w:vMerge w:val="continue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580" w:type="pct"/>
            <w:vMerge w:val="continue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90" w:type="pct"/>
            <w:vMerge w:val="continue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480" w:type="pct"/>
            <w:vMerge w:val="continue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730" w:type="pct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reja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boʻyicha</w:t>
            </w:r>
          </w:p>
        </w:tc>
        <w:tc>
          <w:tcPr>
            <w:tcW w:w="580" w:type="pct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haqiqat-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dagi</w:t>
            </w:r>
          </w:p>
        </w:tc>
        <w:tc>
          <w:tcPr>
            <w:tcW w:w="448" w:type="pct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asos</w:t>
            </w:r>
          </w:p>
        </w:tc>
        <w:tc>
          <w:tcPr>
            <w:tcW w:w="680" w:type="pct"/>
          </w:tcPr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taʼtilning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 xml:space="preserve">taxminiy </w:t>
            </w:r>
          </w:p>
          <w:p>
            <w:pPr>
              <w:jc w:val="center"/>
              <w:rPr>
                <w:b/>
                <w:i/>
                <w:sz w:val="20"/>
                <w:rFonts w:ascii="Times New Roman" w:hAnsi="Times New Roman"/>
              </w:rPr>
            </w:pPr>
            <w:r>
              <w:rPr>
                <w:b/>
                <w:i/>
                <w:sz w:val="20"/>
              </w:rPr>
              <w:t>sanasi</w:t>
            </w:r>
          </w:p>
        </w:tc>
      </w:tr>
      <w:tr>
        <w:trPr>
          <w:trHeight w:val="60"/>
          <w:jc w:val="center"/>
        </w:trPr>
        <w:tc>
          <w:tcPr>
            <w:tcW w:w="480" w:type="pct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0"/>
              </w:rPr>
              <w:t>1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630" w:type="pct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0"/>
              </w:rPr>
              <w:t>2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580" w:type="pct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0"/>
              </w:rPr>
              <w:t>3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390" w:type="pct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0"/>
              </w:rPr>
              <w:t>4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480" w:type="pct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0"/>
              </w:rPr>
              <w:t>5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730" w:type="pct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0"/>
              </w:rPr>
              <w:t>6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580" w:type="pct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0"/>
              </w:rPr>
              <w:t>7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448" w:type="pct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0"/>
              </w:rPr>
              <w:t>8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</w:tc>
        <w:tc>
          <w:tcPr>
            <w:tcW w:w="680" w:type="pct"/>
          </w:tcPr>
          <w:p>
            <w:pPr>
              <w:jc w:val="center"/>
              <w:rPr>
                <w:b/>
                <w:sz w:val="20"/>
                <w:rFonts w:ascii="Times New Roman" w:hAnsi="Times New Roman"/>
              </w:rPr>
            </w:pPr>
            <w:r>
              <w:rPr>
                <w:b/>
                <w:sz w:val="20"/>
              </w:rPr>
              <w:t>9</w:t>
            </w:r>
          </w:p>
          <w:p>
            <w:pPr>
              <w:rPr>
                <w:sz w:val="24"/>
                <w:rFonts w:ascii="Virtec Times New Roman Uz" w:hAnsi="Virtec Times New Roman Uz"/>
              </w:rPr>
            </w:pPr>
          </w:p>
        </w:tc>
      </w:tr>
      <w:tr>
        <w:trPr>
          <w:trHeight w:val="60"/>
          <w:jc w:val="center"/>
        </w:trPr>
        <w:tc>
          <w:tcPr>
            <w:tcW w:w="480" w:type="pct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  <w:t xml:space="preserve">Taʼtilga chiquvchi xodim ishlaydigan boʻlim  nomi</w:t>
            </w:r>
            <w:r>
              <w:rPr>
                <w:vanish w:val="false"/>
                <w:sz w:val="20"/>
                <w:rFonts w:ascii="Times New Roman" w:hAnsi="Times New Roman"/>
              </w:rPr>
              <w:fldChar w:fldCharType="end"/>
            </w:r>
            <w:r>
              <w:rPr>
                <w:b/>
                <w:sz w:val="20"/>
                <w:rFonts w:ascii="Times New Roman" w:hAnsi="Times New Roman"/>
              </w:rPr>
              <w:t xml:space="preserve"> </w:t>
            </w:r>
          </w:p>
        </w:tc>
        <w:tc>
          <w:tcPr>
            <w:tcW w:w="630" w:type="pct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  <w:t xml:space="preserve">Xodimning lavozimi</w:t>
            </w:r>
            <w:r>
              <w:rPr>
                <w:vanish w:val="false"/>
                <w:sz w:val="20"/>
                <w:rFonts w:ascii="Times New Roman" w:hAnsi="Times New Roman"/>
              </w:rPr>
              <w:fldChar w:fldCharType="end"/>
            </w:r>
            <w:r>
              <w:rPr>
                <w:b/>
                <w:sz w:val="20"/>
                <w:rFonts w:ascii="Times New Roman" w:hAnsi="Times New Roman"/>
              </w:rPr>
              <w:t xml:space="preserve"> </w:t>
            </w:r>
          </w:p>
        </w:tc>
        <w:tc>
          <w:tcPr>
            <w:tcW w:w="580" w:type="pct"/>
          </w:tcPr>
          <w:p>
            <w:pPr>
              <w:jc w:val="center"/>
              <w:rPr>
                <w:sz w:val="20"/>
                <w:rFonts w:ascii="Times New Roman" w:hAnsi="Times New Roman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  <w:t xml:space="preserve">Xodimning F.I.O</w:t>
            </w:r>
            <w:r>
              <w:rPr>
                <w:vanish w:val="false"/>
                <w:sz w:val="20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</w:r>
          </w:p>
        </w:tc>
        <w:tc>
          <w:tcPr>
            <w:tcW w:w="390" w:type="pct"/>
          </w:tcPr>
          <w:p>
            <w:pPr>
              <w:jc w:val="center"/>
              <w:rPr>
                <w:sz w:val="20"/>
                <w:rFonts w:ascii="Times New Roman" w:hAnsi="Times New Roman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  <w:t xml:space="preserve">Mehnat taʼtiliga chiquvchi xodimning tabel raqami</w:t>
            </w:r>
            <w:r>
              <w:rPr>
                <w:vanish w:val="false"/>
                <w:sz w:val="20"/>
                <w:rFonts w:ascii="Times New Roman" w:hAnsi="Times New Roman"/>
              </w:rPr>
              <w:fldChar w:fldCharType="end"/>
            </w:r>
            <w:r>
              <w:rPr>
                <w:b/>
                <w:sz w:val="20"/>
                <w:rFonts w:ascii="Times New Roman" w:hAnsi="Times New Roman"/>
              </w:rPr>
              <w:t xml:space="preserve"> 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</w:r>
          </w:p>
        </w:tc>
        <w:tc>
          <w:tcPr>
            <w:tcW w:w="480" w:type="pct"/>
          </w:tcPr>
          <w:p>
            <w:pPr>
              <w:jc w:val="center"/>
              <w:rPr>
                <w:sz w:val="20"/>
                <w:rFonts w:ascii="Times New Roman" w:hAnsi="Times New Roman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  <w:t xml:space="preserve">Xodimning taʼtil kunlari muddati</w:t>
            </w:r>
            <w:r>
              <w:rPr>
                <w:vanish w:val="false"/>
                <w:sz w:val="20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</w:r>
          </w:p>
        </w:tc>
        <w:tc>
          <w:tcPr>
            <w:tcW w:w="730" w:type="pct"/>
          </w:tcPr>
          <w:p>
            <w:pPr>
              <w:jc w:val="center"/>
              <w:rPr>
                <w:sz w:val="20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 xml:space="preserve"> </w:t>
            </w:r>
            <w:r>
              <w:rPr>
                <w:sz w:val="20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  <w:t xml:space="preserve">mehnat taʼtili uchun asos boʻluvchi yilning boshlanish vaqti</w:t>
            </w:r>
            <w:r>
              <w:rPr>
                <w:sz w:val="20"/>
                <w:rFonts w:ascii="Times New Roman" w:hAnsi="Times New Roman"/>
              </w:rPr>
              <w:fldChar w:fldCharType="end"/>
            </w:r>
            <w:r>
              <w:rPr>
                <w:sz w:val="20"/>
                <w:rFonts w:ascii="Times New Roman" w:hAnsi="Times New Roman"/>
              </w:rPr>
              <w:t xml:space="preserve">yildan </w:t>
            </w:r>
          </w:p>
          <w:p>
            <w:pPr>
              <w:jc w:val="center"/>
              <w:rPr>
                <w:sz w:val="20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 xml:space="preserve"> </w:t>
            </w:r>
            <w:r>
              <w:rPr>
                <w:sz w:val="20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  <w:t xml:space="preserve">mehnat taʼtili uchun asos boʻluvchi yilning tugash vaqti</w:t>
            </w:r>
            <w:r>
              <w:rPr>
                <w:sz w:val="20"/>
                <w:rFonts w:ascii="Times New Roman" w:hAnsi="Times New Roman"/>
              </w:rPr>
              <w:fldChar w:fldCharType="end"/>
            </w:r>
            <w:r>
              <w:rPr>
                <w:sz w:val="20"/>
                <w:rFonts w:ascii="Times New Roman" w:hAnsi="Times New Roman"/>
              </w:rPr>
              <w:t>yilgacha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</w:r>
          </w:p>
        </w:tc>
        <w:tc>
          <w:tcPr>
            <w:tcW w:w="580" w:type="pct"/>
          </w:tcPr>
          <w:p>
            <w:pPr>
              <w:jc w:val="center"/>
              <w:rPr>
                <w:sz w:val="20"/>
                <w:rFonts w:ascii="Times New Roman" w:hAnsi="Times New Roman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  <w:t xml:space="preserve">Xodim taʼtilga haqiqatda chiqgan kunlar</w:t>
            </w:r>
            <w:r>
              <w:rPr>
                <w:vanish w:val="false"/>
                <w:sz w:val="20"/>
                <w:rFonts w:ascii="Times New Roman" w:hAnsi="Times New Roman"/>
              </w:rPr>
              <w:fldChar w:fldCharType="end"/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</w:r>
          </w:p>
        </w:tc>
        <w:tc>
          <w:tcPr>
            <w:tcW w:w="448" w:type="pct"/>
          </w:tcPr>
          <w:p>
            <w:pPr>
              <w:jc w:val="center"/>
              <w:rPr>
                <w:sz w:val="20"/>
                <w:rFonts w:ascii="Times New Roman" w:hAnsi="Times New Roman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  <w:t xml:space="preserve">Mehnat taʼtilini boshqa muayyan muddatga koʻchirish hohishini bildirgan xodimning mehnat taʼtilini boshqa muayyan muddatga koʻchirilishi uchun asos</w:t>
            </w:r>
            <w:r>
              <w:rPr>
                <w:vanish w:val="false"/>
                <w:sz w:val="20"/>
                <w:rFonts w:ascii="Times New Roman" w:hAnsi="Times New Roman"/>
              </w:rPr>
              <w:fldChar w:fldCharType="end"/>
            </w:r>
            <w:r>
              <w:rPr>
                <w:b/>
                <w:sz w:val="20"/>
                <w:rFonts w:ascii="Times New Roman" w:hAnsi="Times New Roman"/>
              </w:rPr>
              <w:t xml:space="preserve"> </w:t>
            </w:r>
          </w:p>
          <w:p>
            <w:pPr>
              <w:rPr>
                <w:sz w:val="24"/>
                <w:rFonts w:ascii="Virtec Times New Roman Uz" w:hAnsi="Virtec Times New Roman Uz"/>
              </w:rPr>
            </w:pPr>
            <w:r>
              <w:rPr>
                <w:sz w:val="20"/>
                <w:rFonts w:ascii="Times New Roman" w:hAnsi="Times New Roman"/>
              </w:rPr>
            </w:r>
          </w:p>
        </w:tc>
        <w:tc>
          <w:tcPr>
            <w:tcW w:w="680" w:type="pct"/>
          </w:tcPr>
          <w:p>
            <w:pPr>
              <w:rPr>
                <w:sz w:val="20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  <w:t xml:space="preserve">Taʼtil boshqa muayyan muddatga koʻchirilishining taxminiy sanasi</w:t>
            </w:r>
            <w:r>
              <w:rPr>
                <w:vanish w:val="false"/>
                <w:sz w:val="20"/>
                <w:rFonts w:ascii="Times New Roman" w:hAnsi="Times New Roman"/>
              </w:rPr>
              <w:fldChar w:fldCharType="end"/>
            </w:r>
          </w:p>
          <w:p>
            <w:pPr>
              <w:rPr>
                <w:sz w:val="24"/>
                <w:rFonts w:ascii="Virtec Times New Roman Uz" w:hAnsi="Virtec Times New Roman Uz"/>
              </w:rPr>
            </w:pPr>
          </w:p>
        </w:tc>
      </w:tr>
      <w:tr>
        <w:trPr>
          <w:trHeight w:val="60"/>
          <w:jc w:val="center"/>
        </w:trPr>
        <w:tc>
          <w:tcPr>
            <w:tcW w:w="480" w:type="pct"/>
          </w:tcPr>
          <w:p>
            <w:pPr>
              <w:rPr>
                <w:sz w:val="24"/>
                <w:rFonts w:ascii="Virtec Times New Roman Uz" w:hAnsi="Virtec Times New Roman Uz"/>
              </w:rPr>
            </w:pPr>
          </w:p>
        </w:tc>
        <w:tc>
          <w:tcPr>
            <w:tcW w:w="630" w:type="pct"/>
          </w:tcPr>
          <w:p>
            <w:pPr>
              <w:rPr>
                <w:sz w:val="24"/>
                <w:rFonts w:ascii="Virtec Times New Roman Uz" w:hAnsi="Virtec Times New Roman Uz"/>
              </w:rPr>
            </w:pPr>
          </w:p>
        </w:tc>
        <w:tc>
          <w:tcPr>
            <w:tcW w:w="580" w:type="pct"/>
          </w:tcPr>
          <w:p>
            <w:pPr>
              <w:rPr>
                <w:sz w:val="24"/>
                <w:rFonts w:ascii="Virtec Times New Roman Uz" w:hAnsi="Virtec Times New Roman Uz"/>
              </w:rPr>
            </w:pPr>
          </w:p>
        </w:tc>
        <w:tc>
          <w:tcPr>
            <w:tcW w:w="390" w:type="pct"/>
          </w:tcPr>
          <w:p>
            <w:pPr>
              <w:rPr>
                <w:sz w:val="24"/>
                <w:rFonts w:ascii="Virtec Times New Roman Uz" w:hAnsi="Virtec Times New Roman Uz"/>
              </w:rPr>
            </w:pPr>
          </w:p>
        </w:tc>
        <w:tc>
          <w:tcPr>
            <w:tcW w:w="480" w:type="pct"/>
          </w:tcPr>
          <w:p>
            <w:pPr>
              <w:rPr>
                <w:sz w:val="24"/>
                <w:rFonts w:ascii="Virtec Times New Roman Uz" w:hAnsi="Virtec Times New Roman Uz"/>
              </w:rPr>
            </w:pPr>
          </w:p>
        </w:tc>
        <w:tc>
          <w:tcPr>
            <w:tcW w:w="730" w:type="pct"/>
          </w:tcPr>
          <w:p>
            <w:pPr>
              <w:jc w:val="left"/>
              <w:rPr>
                <w:sz w:val="24"/>
                <w:rFonts w:ascii="Virtec Times New Roman Uz" w:hAnsi="Virtec Times New Roman Uz"/>
              </w:rPr>
            </w:pPr>
          </w:p>
        </w:tc>
        <w:tc>
          <w:tcPr>
            <w:tcW w:w="580" w:type="pct"/>
          </w:tcPr>
          <w:p>
            <w:pPr>
              <w:rPr>
                <w:sz w:val="24"/>
                <w:rFonts w:ascii="Virtec Times New Roman Uz" w:hAnsi="Virtec Times New Roman Uz"/>
              </w:rPr>
            </w:pPr>
          </w:p>
        </w:tc>
        <w:tc>
          <w:tcPr>
            <w:tcW w:w="448" w:type="pct"/>
          </w:tcPr>
          <w:p>
            <w:pPr>
              <w:rPr>
                <w:sz w:val="24"/>
                <w:rFonts w:ascii="Virtec Times New Roman Uz" w:hAnsi="Virtec Times New Roman Uz"/>
              </w:rPr>
            </w:pPr>
          </w:p>
        </w:tc>
        <w:tc>
          <w:tcPr>
            <w:tcW w:w="680" w:type="pct"/>
          </w:tcPr>
          <w:p>
            <w:pPr>
              <w:rPr>
                <w:sz w:val="24"/>
                <w:rFonts w:ascii="Virtec Times New Roman Uz" w:hAnsi="Virtec Times New Roman Uz"/>
              </w:rPr>
            </w:pPr>
          </w:p>
        </w:tc>
      </w:tr>
      <w:tr>
        <w:trPr>
          <w:trHeight w:val="60"/>
          <w:jc w:val="center"/>
        </w:trPr>
        <w:tc>
          <w:tcPr>
            <w:tcW w:w="480" w:type="pct"/>
          </w:tcPr>
          <w:p/>
        </w:tc>
        <w:tc>
          <w:tcPr>
            <w:tcW w:w="630" w:type="pct"/>
          </w:tcPr>
          <w:p/>
        </w:tc>
        <w:tc>
          <w:tcPr>
            <w:tcW w:w="580" w:type="pct"/>
          </w:tcPr>
          <w:p/>
        </w:tc>
        <w:tc>
          <w:tcPr>
            <w:tcW w:w="390" w:type="pct"/>
          </w:tcPr>
          <w:p/>
        </w:tc>
        <w:tc>
          <w:tcPr>
            <w:tcW w:w="480" w:type="pct"/>
          </w:tcPr>
          <w:p/>
        </w:tc>
        <w:tc>
          <w:tcPr>
            <w:tcW w:w="730" w:type="pct"/>
          </w:tcPr>
          <w:p>
            <w:pPr>
              <w:jc w:val="left"/>
              <w:rPr>
                <w:sz w:val="20"/>
              </w:rPr>
            </w:pPr>
          </w:p>
        </w:tc>
        <w:tc>
          <w:tcPr>
            <w:tcW w:w="580" w:type="pct"/>
          </w:tcPr>
          <w:p/>
        </w:tc>
        <w:tc>
          <w:tcPr>
            <w:tcW w:w="448" w:type="pct"/>
          </w:tcPr>
          <w:p/>
        </w:tc>
        <w:tc>
          <w:tcPr>
            <w:tcW w:w="680" w:type="pct"/>
          </w:tcPr>
          <w:p/>
        </w:tc>
      </w:tr>
      <w:tr>
        <w:trPr>
          <w:trHeight w:val="60"/>
          <w:jc w:val="center"/>
        </w:trPr>
        <w:tc>
          <w:tcPr>
            <w:tcW w:w="480" w:type="pct"/>
          </w:tcPr>
          <w:p/>
        </w:tc>
        <w:tc>
          <w:tcPr>
            <w:tcW w:w="630" w:type="pct"/>
          </w:tcPr>
          <w:p/>
        </w:tc>
        <w:tc>
          <w:tcPr>
            <w:tcW w:w="580" w:type="pct"/>
          </w:tcPr>
          <w:p/>
        </w:tc>
        <w:tc>
          <w:tcPr>
            <w:tcW w:w="390" w:type="pct"/>
          </w:tcPr>
          <w:p/>
        </w:tc>
        <w:tc>
          <w:tcPr>
            <w:tcW w:w="480" w:type="pct"/>
          </w:tcPr>
          <w:p/>
        </w:tc>
        <w:tc>
          <w:tcPr>
            <w:tcW w:w="730" w:type="pct"/>
          </w:tcPr>
          <w:p>
            <w:pPr>
              <w:jc w:val="left"/>
              <w:rPr>
                <w:sz w:val="20"/>
              </w:rPr>
            </w:pPr>
          </w:p>
        </w:tc>
        <w:tc>
          <w:tcPr>
            <w:tcW w:w="580" w:type="pct"/>
          </w:tcPr>
          <w:p/>
        </w:tc>
        <w:tc>
          <w:tcPr>
            <w:tcW w:w="448" w:type="pct"/>
          </w:tcPr>
          <w:p/>
        </w:tc>
        <w:tc>
          <w:tcPr>
            <w:tcW w:w="680" w:type="pct"/>
          </w:tcPr>
          <w:p/>
        </w:tc>
      </w:tr>
    </w:tbl>
    <w:p/>
    <w:p>
      <w:r>
        <w:rPr>
          <w:vanish w:val="false"/>
          <w:sz w:val="24"/>
          <w:rFonts w:ascii="Times New Roman" w:hAnsi="Times New Roman"/>
        </w:rPr>
      </w:r>
    </w:p>
    <w:p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Jadvalni tasdiqlayotgan shaxs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</w:rPr>
        <w:t xml:space="preserve">                                                                                            </w:t>
      </w:r>
      <w:r>
        <w:rPr>
          <w:sz w:val="24"/>
        </w:rPr>
        <w:fldChar w:fldCharType="begin"/>
        <w:instrText xml:space="preserve">X {"Y":13}</w:instrText>
        <w:fldChar w:fldCharType="separate"/>
        <w:t xml:space="preserve">Jadvalni tasdiqlayotgan shaxs  F.I.O</w:t>
      </w:r>
      <w:r>
        <w:rPr>
          <w:sz w:val="24"/>
        </w:rPr>
        <w:fldChar w:fldCharType="end"/>
      </w:r>
    </w:p>
    <w:sectPr>
      <w:pgSz w:w="16838" w:h="11906"/>
      <w:pgMar w:left="1134" w:right="1134" w:top="1701" w:bottom="851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irtec Times New Roman Uz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C4481"/>
    <w:multiLevelType w:val="hybridMultilevel"/>
    <w:tmpl w:val="A142CA32"/>
    <w:lvl w:ilvl="0" w:tplc="B8F4207C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4F5F2E"/>
    <w:multiLevelType w:val="hybridMultilevel"/>
    <w:tmpl w:val="A4945FE2"/>
    <w:lvl w:ilvl="0" w:tplc="C6D20F62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5E57FD"/>
    <w:multiLevelType w:val="hybridMultilevel"/>
    <w:tmpl w:val="4B323802"/>
    <w:lvl w:ilvl="0" w:tplc="1624A272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C3C"/>
    <w:rsid w:val="00030DB0"/>
    <w:rsid w:val="000372B8"/>
    <w:rsid w:val="001F0927"/>
    <w:rsid w:val="002C72EB"/>
    <w:rsid w:val="003341CC"/>
    <w:rsid w:val="003B10E0"/>
    <w:rsid w:val="00533995"/>
    <w:rsid w:val="005B7EA3"/>
    <w:rsid w:val="006023D1"/>
    <w:rsid w:val="0062070F"/>
    <w:rsid w:val="006F7681"/>
    <w:rsid w:val="00762A32"/>
    <w:rsid w:val="00852816"/>
    <w:rsid w:val="0086078C"/>
    <w:rsid w:val="00891BE4"/>
    <w:rsid w:val="009344F0"/>
    <w:rsid w:val="00982768"/>
    <w:rsid w:val="009D1224"/>
    <w:rsid w:val="00A01810"/>
    <w:rsid w:val="00A0264E"/>
    <w:rsid w:val="00A14417"/>
    <w:rsid w:val="00A5304D"/>
    <w:rsid w:val="00AD2246"/>
    <w:rsid w:val="00B100CA"/>
    <w:rsid w:val="00B92082"/>
    <w:rsid w:val="00C9785C"/>
    <w:rsid w:val="00CD023E"/>
    <w:rsid w:val="00D17322"/>
    <w:rsid w:val="00D34C3C"/>
    <w:rsid w:val="00E71244"/>
    <w:rsid w:val="00EB7FA3"/>
    <w:rsid w:val="00F3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0381E"/>
  <w15:chartTrackingRefBased/>
  <w15:docId w15:val="{F3D37971-631C-4C56-97F6-0DC52E9E4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C3C"/>
    <w:pPr>
      <w:jc w:val="center"/>
    </w:pPr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4C3C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“КЕЛИШИЛДИ”</vt:lpstr>
    </vt:vector>
  </TitlesOfParts>
  <Company>RePack by SPecialiST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“КЕЛИШИЛДИ”</dc:title>
  <dc:subject/>
  <dc:creator>windows Help IT</dc:creator>
  <cp:keywords/>
  <dc:description/>
  <cp:lastModifiedBy>root</cp:lastModifiedBy>
  <cp:revision>7</cp:revision>
  <dcterms:created xsi:type="dcterms:W3CDTF">2021-04-17T08:49:00Z</dcterms:created>
  <dcterms:modified xsi:type="dcterms:W3CDTF">2021-06-26T10:03:00Z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Xodimlarni mehnat taʼtiliga chiqarish boʻyicha taʼtillar jadvali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Jadval tuzilgan sana</w:name>
    <w:comment xml:space="preserve">(yil, oy, kun kiritiladi)</w:comment>
    <w:value w:hidden="false">
      <w:unit w:active="false"/>
    </w:value>
  </w:element>
  <w:element w:id="3" w:kind="category" w:selector="check" w:type="string" w:valueMode="normal" w:required="false">
    <w:identifier xml:space="preserve">ID3</w:identifier>
    <w:name xml:space="preserve">Xodimlarni mehnat taʼtiliga chiqarish boʻyicha taʼtillar jadvalini kelishayotgan taraf</w:name>
    <w:value w:hidden="true">
      <w:unit w:active="false"/>
    </w:value>
  </w:element>
  <w:element w:id="4" w:kind="variable" w:selector="check" w:type="string" w:valueMode="normal" w:required="false" w:groupID="3">
    <w:identifier xml:space="preserve">ID4</w:identifier>
    <w:name xml:space="preserve">Taʼtillar jadvalini kelishayotgan shaxs ish joyining nomi va tashkiliy huquqiy shakli</w:name>
    <w:value w:hidden="false">
      <w:unit w:active="false"/>
    </w:value>
  </w:element>
  <w:element w:id="5" w:kind="variable" w:selector="check" w:type="string" w:valueMode="normal" w:required="false" w:groupID="3">
    <w:identifier xml:space="preserve">ID5</w:identifier>
    <w:name xml:space="preserve">Taʼtillar jadvalini kelishayotgan shaxs ishlaydigan boʻlim nomi</w:name>
    <w:value w:hidden="false">
      <w:unit w:active="false"/>
    </w:value>
  </w:element>
  <w:element w:id="6" w:kind="variable" w:selector="check" w:type="string" w:valueMode="normal" w:required="false" w:groupID="3">
    <w:identifier xml:space="preserve">ID6</w:identifier>
    <w:name xml:space="preserve">Taʼtillar jadvalini kelishayotgan shaxs lavozimi</w:name>
    <w:value w:hidden="false">
      <w:unit w:active="false"/>
    </w:value>
  </w:element>
  <w:element w:id="7" w:kind="variable" w:selector="check" w:type="string" w:valueMode="normal" w:required="false" w:groupID="3">
    <w:identifier xml:space="preserve">ID7</w:identifier>
    <w:name xml:space="preserve">Taʼtillar jadvalini kelishayotgan shaxs F.I.O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Taʼtil jadvalini tasdiqlayotgan taraf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Jadvalni tasdiqlayotgan shaxs ish joyining nomi va tashkiliy huquqiy shakli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Jadvalni tasdiqlayotgan shaxs lavozimi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Jadvalni tasdiqlayotgan shaxs F.I.O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Jadvalni tasdiqlayotgan shaxs lavozimi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Jadvalni tasdiqlayotgan shaxs  F.I.O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taʼtillar jadvalining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Jadval qaysi yilga moʻljallab tuzilgan?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Taʼtilga chiquvchi xodim ishlaydigan boʻlim  nomi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Xodimning lavozimi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Xodimning F.I.O</w:name>
    <w:value w:hidden="false">
      <w:unit w:active="false"/>
    </w:value>
  </w:element>
  <w:element w:id="19" w:kind="variable" w:selector="check" w:type="number" w:valueMode="normal" w:required="false" w:groupID="14">
    <w:identifier xml:space="preserve">ID19</w:identifier>
    <w:name xml:space="preserve">Mehnat taʼtiliga chiquvchi xodimning tabel raqami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Xodimning taʼtil kunlari muddati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mehnat taʼtili uchun asos boʻluvchi yilning boshlanish vaqti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mehnat taʼtili uchun asos boʻluvchi yilning tugash vaqti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Mehnat taʼtilini boshqa muayyan muddatga koʻchirish hohishini bildirgan xodimning mehnat taʼtilini boshqa muayyan muddatga koʻchirilishi uchun asos</w:name>
    <w:value w:hidden="false">
      <w:unit w:active="false"/>
    </w:value>
  </w:element>
  <w:element w:id="24" w:kind="variable" w:selector="check" w:type="date" w:valueMode="normal" w:required="false" w:groupID="14">
    <w:identifier xml:space="preserve">ID24</w:identifier>
    <w:name xml:space="preserve">Taʼtil boshqa muayyan muddatga koʻchirilishining taxminiy sanasi</w:name>
    <w:value w:hidden="false">
      <w:unit w:active="false"/>
    </w:value>
  </w:element>
  <w:element w:id="25" w:kind="variable" w:selector="check" w:type="string" w:valueMode="normal" w:required="false" w:groupID="14">
    <w:identifier xml:space="preserve">ID25</w:identifier>
    <w:name xml:space="preserve">Xodim taʼtilga haqiqatda chiqgan kunlar</w:name>
    <w:value w:hidden="false">
      <w:unit w:active="false"/>
    </w:value>
  </w:element>
</w:structure>
</file>