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4"/>
        <w:gridCol w:w="2693"/>
        <w:gridCol w:w="3537"/>
      </w:tblGrid>
      <w:tr>
        <w:tc>
          <w:tcPr>
            <w:tcW w:w="3114" w:type="dxa"/>
          </w:tcPr>
          <w:p>
            <w:pPr>
              <w:jc w:val="center"/>
              <w:rPr>
                <w:b/>
                <w:sz w:val="26"/>
              </w:rPr>
            </w:pPr>
          </w:p>
        </w:tc>
        <w:tc>
          <w:tcPr>
            <w:tcW w:w="2693" w:type="dxa"/>
          </w:tcPr>
          <w:p>
            <w:pPr>
              <w:jc w:val="center"/>
              <w:rPr>
                <w:b/>
                <w:sz w:val="26"/>
              </w:rPr>
            </w:pPr>
          </w:p>
        </w:tc>
        <w:tc>
          <w:tcPr>
            <w:tcW w:w="3537" w:type="dxa"/>
          </w:tcPr>
          <w:p>
            <w:pPr>
              <w:rPr>
                <w:sz w:val="26"/>
              </w:rPr>
            </w:pPr>
            <w:r>
              <w:rPr>
                <w:vanish w:val="false"/>
                <w:sz w:val="26"/>
                <w:rFonts w:ascii="Times New Roman" w:hAnsi="Times New Roman"/>
              </w:rPr>
              <w:fldChar w:fldCharType="begin"/>
              <w:instrText xml:space="preserve">X {"Y":9}</w:instrText>
              <w:fldChar w:fldCharType="separate"/>
            </w:r>
            <w:r>
              <w:rPr>
                <w:vanish w:val="false"/>
                <w:sz w:val="26"/>
                <w:rFonts w:ascii="Times New Roman" w:hAnsi="Times New Roman"/>
              </w:rPr>
              <w:t xml:space="preserve">Talabnoma oluvchi tashkilot nomi  va tashkiliy-huquqiy shakli (qoʻlda toʻldiriladi)</w:t>
              <w:fldChar w:fldCharType="end"/>
            </w:r>
            <w:r>
              <w:rPr>
                <w:sz w:val="26"/>
              </w:rPr>
              <w:t>ga</w:t>
            </w:r>
          </w:p>
          <w:p>
            <w:pPr>
              <w:rPr>
                <w:sz w:val="26"/>
              </w:rPr>
            </w:pPr>
            <w:r>
              <w:rPr>
                <w:sz w:val="26"/>
              </w:rPr>
              <w:t xml:space="preserve">                                                                                       Manzil: </w:t>
            </w:r>
            <w:r>
              <w:rPr>
                <w:vanish w:val="false"/>
                <w:sz w:val="26"/>
                <w:rFonts w:ascii="Times New Roman" w:hAnsi="Times New Roman"/>
              </w:rPr>
              <w:fldChar w:fldCharType="begin"/>
              <w:instrText xml:space="preserve">X {"Y":10}</w:instrText>
              <w:fldChar w:fldCharType="separate"/>
            </w:r>
            <w:r>
              <w:rPr>
                <w:vanish w:val="false"/>
                <w:sz w:val="26"/>
                <w:rFonts w:ascii="Times New Roman" w:hAnsi="Times New Roman"/>
              </w:rPr>
              <w:t xml:space="preserve">Talabnoma oluvchi tashkilotning manzili (qoʻlda toʻldiriladi)</w:t>
              <w:fldChar w:fldCharType="end"/>
            </w:r>
          </w:p>
          <w:p>
            <w:pPr>
              <w:jc w:val="center"/>
              <w:rPr>
                <w:b/>
                <w:sz w:val="26"/>
              </w:rPr>
            </w:pPr>
          </w:p>
        </w:tc>
      </w:tr>
      <w:tr>
        <w:tc>
          <w:tcPr>
            <w:tcW w:w="3114" w:type="dxa"/>
          </w:tcPr>
          <w:p>
            <w:pPr>
              <w:jc w:val="center"/>
              <w:rPr>
                <w:b/>
                <w:sz w:val="26"/>
              </w:rPr>
            </w:pPr>
          </w:p>
        </w:tc>
        <w:tc>
          <w:tcPr>
            <w:tcW w:w="2693" w:type="dxa"/>
          </w:tcPr>
          <w:p>
            <w:pPr>
              <w:jc w:val="center"/>
              <w:rPr>
                <w:b/>
                <w:sz w:val="26"/>
              </w:rPr>
            </w:pPr>
          </w:p>
        </w:tc>
        <w:tc>
          <w:tcPr>
            <w:tcW w:w="3537" w:type="dxa"/>
          </w:tcPr>
          <w:p>
            <w:pPr>
              <w:jc w:val="center"/>
              <w:rPr>
                <w:b/>
                <w:sz w:val="26"/>
              </w:rPr>
            </w:pPr>
          </w:p>
        </w:tc>
      </w:tr>
      <w:tr>
        <w:tc>
          <w:tcPr>
            <w:tcW w:w="9344" w:type="dxa"/>
            <w:gridSpan w:val="3"/>
          </w:tcPr>
          <w:p>
            <w:pPr>
              <w:jc w:val="center"/>
              <w:rPr>
                <w:b/>
                <w:sz w:val="26"/>
              </w:rPr>
            </w:pPr>
            <w:r>
              <w:rPr>
                <w:b/>
                <w:sz w:val="26"/>
              </w:rPr>
              <w:t>TALABNOMA</w:t>
            </w:r>
          </w:p>
          <w:p>
            <w:pPr>
              <w:jc w:val="center"/>
              <w:rPr>
                <w:b/>
                <w:i/>
                <w:sz w:val="26"/>
              </w:rPr>
            </w:pPr>
            <w:r>
              <w:rPr>
                <w:b/>
                <w:i/>
                <w:sz w:val="26"/>
              </w:rPr>
              <w:t xml:space="preserve"> (Muddati oʻtgan debitor qarzdorlik hisobiga qarzdorning mol-mulkini ushlab qolish toʻgʻrisida)</w:t>
            </w:r>
          </w:p>
          <w:p>
            <w:pPr>
              <w:jc w:val="center"/>
              <w:rPr>
                <w:b/>
                <w:sz w:val="26"/>
              </w:rPr>
            </w:pPr>
          </w:p>
          <w:p>
            <w:pPr>
              <w:jc w:val="center"/>
              <w:rPr>
                <w:b/>
                <w:sz w:val="26"/>
              </w:rPr>
            </w:pPr>
          </w:p>
        </w:tc>
      </w:tr>
      <w:tr>
        <w:tc>
          <w:tcPr>
            <w:tcW w:w="3114" w:type="dxa"/>
          </w:tcPr>
          <w:p>
            <w:pPr>
              <w:rPr>
                <w:sz w:val="26"/>
              </w:rPr>
            </w:pPr>
            <w:r>
              <w:rPr>
                <w:vanish w:val="false"/>
                <w:sz w:val="26"/>
                <w:rFonts w:ascii="Times New Roman" w:hAnsi="Times New Roman"/>
              </w:rPr>
              <w:fldChar w:fldCharType="begin"/>
              <w:instrText xml:space="preserve">X {"Y":3}</w:instrText>
              <w:fldChar w:fldCharType="separate"/>
            </w:r>
            <w:r>
              <w:rPr>
                <w:vanish w:val="false"/>
                <w:sz w:val="26"/>
                <w:rFonts w:ascii="Times New Roman" w:hAnsi="Times New Roman"/>
              </w:rPr>
              <w:t xml:space="preserve">Talabnoma tuzilgan joy (roʻyxat)</w:t>
              <w:fldChar w:fldCharType="end"/>
            </w:r>
            <w:r>
              <w:rPr>
                <w:sz w:val="26"/>
              </w:rPr>
              <w:t>tumani</w:t>
            </w:r>
          </w:p>
        </w:tc>
        <w:tc>
          <w:tcPr>
            <w:tcW w:w="2693" w:type="dxa"/>
          </w:tcPr>
          <w:p>
            <w:pPr>
              <w:rPr>
                <w:sz w:val="26"/>
              </w:rPr>
            </w:pPr>
            <w:r>
              <w:rPr>
                <w:vanish w:val="false"/>
                <w:sz w:val="26"/>
                <w:rFonts w:ascii="Times New Roman" w:hAnsi="Times New Roman"/>
              </w:rPr>
              <w:fldChar w:fldCharType="begin"/>
              <w:instrText xml:space="preserve">X {"Y":4}</w:instrText>
              <w:fldChar w:fldCharType="separate"/>
            </w:r>
            <w:r>
              <w:rPr>
                <w:vanish w:val="false"/>
                <w:sz w:val="26"/>
                <w:rFonts w:ascii="Times New Roman" w:hAnsi="Times New Roman"/>
              </w:rPr>
              <w:t xml:space="preserve">Talabnoma raqami</w:t>
              <w:fldChar w:fldCharType="end"/>
            </w:r>
            <w:r>
              <w:rPr>
                <w:sz w:val="26"/>
              </w:rPr>
              <w:t>-son</w:t>
            </w:r>
          </w:p>
        </w:tc>
        <w:tc>
          <w:tcPr>
            <w:tcW w:w="3537" w:type="dxa"/>
          </w:tcPr>
          <w:p>
            <w:pPr>
              <w:jc w:val="right"/>
              <w:rPr>
                <w:sz w:val="26"/>
              </w:rPr>
            </w:pPr>
            <w:r>
              <w:rPr>
                <w:vanish w:val="false"/>
                <w:sz w:val="26"/>
                <w:rFonts w:ascii="Times New Roman" w:hAnsi="Times New Roman"/>
              </w:rPr>
              <w:fldChar w:fldCharType="begin"/>
              <w:instrText xml:space="preserve">X {"Y":2}</w:instrText>
              <w:fldChar w:fldCharType="separate"/>
            </w:r>
            <w:r>
              <w:rPr>
                <w:vanish w:val="false"/>
                <w:sz w:val="26"/>
                <w:rFonts w:ascii="Times New Roman" w:hAnsi="Times New Roman"/>
              </w:rPr>
              <w:t xml:space="preserve">Talabnoma tuzilgan vaqt (kalendar) </w:t>
              <w:fldChar w:fldCharType="end"/>
            </w:r>
            <w:r>
              <w:rPr>
                <w:sz w:val="26"/>
              </w:rPr>
              <w:t xml:space="preserve"> yil</w:t>
            </w:r>
          </w:p>
        </w:tc>
      </w:tr>
    </w:tbl>
    <w:p>
      <w:pPr>
        <w:jc w:val="center"/>
        <w:rPr>
          <w:b/>
          <w:sz w:val="26"/>
        </w:rPr>
      </w:pPr>
    </w:p>
    <w:p>
      <w:pPr>
        <w:jc w:val="center"/>
        <w:rPr>
          <w:b/>
          <w:sz w:val="26"/>
        </w:rPr>
      </w:pPr>
    </w:p>
    <w:p>
      <w:pPr>
        <w:jc w:val="both"/>
        <w:ind w:firstLine="709"/>
        <w:rPr>
          <w:sz w:val="26"/>
        </w:rPr>
      </w:pPr>
      <w:r>
        <w:rPr>
          <w:vanish w:val="false"/>
          <w:sz w:val="26"/>
          <w:rFonts w:ascii="Times New Roman" w:hAnsi="Times New Roman"/>
        </w:rPr>
        <w:fldChar w:fldCharType="begin"/>
        <w:instrText xml:space="preserve">X {"Y":6}</w:instrText>
        <w:fldChar w:fldCharType="separate"/>
      </w:r>
      <w:r>
        <w:rPr>
          <w:vanish w:val="false"/>
          <w:sz w:val="26"/>
          <w:rFonts w:ascii="Times New Roman" w:hAnsi="Times New Roman"/>
        </w:rPr>
        <w:t xml:space="preserve">Talabnoma beruvchi tashkilot nomi  va tashkiliy-huquqiy shakli (qoʻlda toʻldiriladi)</w:t>
        <w:fldChar w:fldCharType="end"/>
      </w:r>
      <w:r>
        <w:rPr>
          <w:sz w:val="26"/>
        </w:rPr>
        <w:t xml:space="preserve"> hamda </w:t>
      </w:r>
      <w:r>
        <w:rPr>
          <w:vanish w:val="false"/>
          <w:sz w:val="26"/>
          <w:rFonts w:ascii="Times New Roman" w:hAnsi="Times New Roman"/>
        </w:rPr>
        <w:fldChar w:fldCharType="begin"/>
        <w:instrText xml:space="preserve">X {"Y":9}</w:instrText>
        <w:fldChar w:fldCharType="separate"/>
      </w:r>
      <w:r>
        <w:rPr>
          <w:vanish w:val="false"/>
          <w:sz w:val="26"/>
          <w:rFonts w:ascii="Times New Roman" w:hAnsi="Times New Roman"/>
        </w:rPr>
        <w:t xml:space="preserve">Talabnoma oluvchi tashkilot nomi  va tashkiliy-huquqiy shakli (qoʻlda toʻldiriladi)</w:t>
        <w:fldChar w:fldCharType="end"/>
      </w:r>
      <w:r>
        <w:rPr>
          <w:sz w:val="26"/>
        </w:rPr>
        <w:t xml:space="preserve"> oʻrtasida   </w:t>
      </w:r>
      <w:r>
        <w:rPr>
          <w:vanish w:val="false"/>
          <w:sz w:val="26"/>
          <w:rFonts w:ascii="Times New Roman" w:hAnsi="Times New Roman"/>
        </w:rPr>
        <w:fldChar w:fldCharType="begin"/>
        <w:instrText xml:space="preserve">X {"Y":12}</w:instrText>
        <w:fldChar w:fldCharType="separate"/>
      </w:r>
      <w:r>
        <w:rPr>
          <w:vanish w:val="false"/>
          <w:sz w:val="26"/>
          <w:rFonts w:ascii="Times New Roman" w:hAnsi="Times New Roman"/>
        </w:rPr>
        <w:t xml:space="preserve">Talabnoma berilishiga asos boʻlgan shartnoma tuzilgan sana (kalendar)</w:t>
        <w:fldChar w:fldCharType="end"/>
      </w:r>
      <w:r>
        <w:rPr>
          <w:sz w:val="26"/>
        </w:rPr>
        <w:t xml:space="preserve"> sanasida </w:t>
      </w:r>
      <w:r>
        <w:rPr>
          <w:vanish w:val="false"/>
          <w:sz w:val="26"/>
          <w:rFonts w:ascii="Times New Roman" w:hAnsi="Times New Roman"/>
        </w:rPr>
        <w:fldChar w:fldCharType="begin"/>
        <w:instrText xml:space="preserve">X {"Y":13}</w:instrText>
        <w:fldChar w:fldCharType="separate"/>
      </w:r>
      <w:r>
        <w:rPr>
          <w:vanish w:val="false"/>
          <w:sz w:val="26"/>
          <w:rFonts w:ascii="Times New Roman" w:hAnsi="Times New Roman"/>
        </w:rPr>
        <w:t xml:space="preserve">Shartnoma raqami (qoʻlda toʻldiriladi)</w:t>
        <w:fldChar w:fldCharType="end"/>
      </w:r>
      <w:r>
        <w:rPr>
          <w:sz w:val="26"/>
        </w:rPr>
        <w:t xml:space="preserve">-sonli shartnoma tuzilgan.</w:t>
      </w:r>
    </w:p>
    <w:p>
      <w:pPr>
        <w:jc w:val="both"/>
        <w:ind w:firstLine="709"/>
        <w:spacing w:line="276" w:lineRule="auto"/>
        <w:rPr>
          <w:sz w:val="26"/>
        </w:rPr>
      </w:pPr>
      <w:r>
        <w:rPr>
          <w:sz w:val="26"/>
        </w:rPr>
        <w:t xml:space="preserve">Mazkur shartnomaga asosan </w:t>
      </w:r>
      <w:r>
        <w:rPr>
          <w:vanish w:val="false"/>
          <w:sz w:val="26"/>
          <w:rFonts w:ascii="Times New Roman" w:hAnsi="Times New Roman"/>
        </w:rPr>
        <w:fldChar w:fldCharType="begin"/>
        <w:instrText xml:space="preserve">X {"Y":6}</w:instrText>
        <w:fldChar w:fldCharType="separate"/>
      </w:r>
      <w:r>
        <w:rPr>
          <w:vanish w:val="false"/>
          <w:sz w:val="26"/>
          <w:rFonts w:ascii="Times New Roman" w:hAnsi="Times New Roman"/>
        </w:rPr>
        <w:t xml:space="preserve">Talabnoma beruvchi tashkilot nomi  va tashkiliy-huquqiy shakli (qoʻlda toʻldiriladi)</w:t>
        <w:fldChar w:fldCharType="end"/>
      </w:r>
      <w:r>
        <w:rPr>
          <w:sz w:val="26"/>
        </w:rPr>
        <w:t xml:space="preserve"> tomonidan jami </w:t>
      </w:r>
      <w:r>
        <w:rPr>
          <w:vanish w:val="false"/>
          <w:sz w:val="26"/>
          <w:rFonts w:ascii="Times New Roman" w:hAnsi="Times New Roman"/>
        </w:rPr>
        <w:fldChar w:fldCharType="begin"/>
        <w:instrText xml:space="preserve">X {"Y":16}</w:instrText>
        <w:fldChar w:fldCharType="separate"/>
      </w:r>
      <w:r>
        <w:rPr>
          <w:vanish w:val="false"/>
          <w:sz w:val="26"/>
          <w:rFonts w:ascii="Times New Roman" w:hAnsi="Times New Roman"/>
        </w:rPr>
        <w:t xml:space="preserve">Shartnoma boʻyicha taʼmirlab berilgan ashyolar soni</w:t>
        <w:fldChar w:fldCharType="end"/>
      </w:r>
      <w:r>
        <w:rPr>
          <w:sz w:val="26"/>
        </w:rPr>
        <w:t xml:space="preserve"> ta </w:t>
      </w:r>
      <w:r>
        <w:rPr>
          <w:vanish w:val="false"/>
          <w:sz w:val="26"/>
          <w:rFonts w:ascii="Times New Roman" w:hAnsi="Times New Roman"/>
        </w:rPr>
        <w:fldChar w:fldCharType="begin"/>
        <w:instrText xml:space="preserve">X {"Y":15}</w:instrText>
        <w:fldChar w:fldCharType="separate"/>
      </w:r>
      <w:r>
        <w:rPr>
          <w:vanish w:val="false"/>
          <w:sz w:val="26"/>
          <w:rFonts w:ascii="Times New Roman" w:hAnsi="Times New Roman"/>
        </w:rPr>
        <w:t xml:space="preserve">Shartnoma boʻyicha taʼmirlab berilgan ashyolar nomi</w:t>
        <w:fldChar w:fldCharType="end"/>
      </w:r>
      <w:r>
        <w:rPr>
          <w:sz w:val="26"/>
        </w:rPr>
        <w:t xml:space="preserve">ni </w:t>
      </w:r>
      <w:r>
        <w:rPr>
          <w:vanish w:val="false"/>
          <w:sz w:val="26"/>
          <w:rFonts w:ascii="Times New Roman" w:hAnsi="Times New Roman"/>
        </w:rPr>
        <w:fldChar w:fldCharType="begin"/>
        <w:instrText xml:space="preserve">X {"Y":14}</w:instrText>
        <w:fldChar w:fldCharType="separate"/>
      </w:r>
      <w:r>
        <w:rPr>
          <w:vanish w:val="false"/>
          <w:sz w:val="26"/>
          <w:rFonts w:ascii="Times New Roman" w:hAnsi="Times New Roman"/>
        </w:rPr>
        <w:t xml:space="preserve">Shartnoma qiymati (qoʻlda toʻldiriladi)</w:t>
        <w:fldChar w:fldCharType="end"/>
      </w:r>
      <w:r>
        <w:rPr>
          <w:sz w:val="26"/>
        </w:rPr>
        <w:t xml:space="preserve"> soʻm haq toʻlash evaziga taʼmirlab berilishi belgilangan.</w:t>
      </w:r>
    </w:p>
    <w:p>
      <w:pPr>
        <w:jc w:val="both"/>
        <w:ind w:firstLine="709"/>
        <w:spacing w:line="276" w:lineRule="auto"/>
        <w:rPr>
          <w:sz w:val="26"/>
        </w:rPr>
      </w:pPr>
      <w:r>
        <w:rPr>
          <w:sz w:val="26"/>
        </w:rPr>
        <w:t xml:space="preserve">Shartnomada koʻrsatilgan ishlar </w:t>
      </w:r>
      <w:r>
        <w:rPr>
          <w:vanish w:val="false"/>
          <w:sz w:val="26"/>
          <w:rFonts w:ascii="Times New Roman" w:hAnsi="Times New Roman"/>
        </w:rPr>
        <w:fldChar w:fldCharType="begin"/>
        <w:instrText xml:space="preserve">X {"Y":6}</w:instrText>
        <w:fldChar w:fldCharType="separate"/>
      </w:r>
      <w:r>
        <w:rPr>
          <w:vanish w:val="false"/>
          <w:sz w:val="26"/>
          <w:rFonts w:ascii="Times New Roman" w:hAnsi="Times New Roman"/>
        </w:rPr>
        <w:t xml:space="preserve">Talabnoma beruvchi tashkilot nomi  va tashkiliy-huquqiy shakli (qoʻlda toʻldiriladi)</w:t>
        <w:fldChar w:fldCharType="end"/>
      </w:r>
      <w:r>
        <w:rPr>
          <w:sz w:val="26"/>
        </w:rPr>
        <w:t xml:space="preserve"> tomonidan toʻliq holda va lozim darajada bajarilgan. </w:t>
      </w:r>
    </w:p>
    <w:p>
      <w:pPr>
        <w:jc w:val="both"/>
        <w:ind w:firstLine="709"/>
        <w:spacing w:line="276" w:lineRule="auto"/>
        <w:rPr>
          <w:sz w:val="26"/>
        </w:rPr>
      </w:pPr>
      <w:r>
        <w:rPr>
          <w:sz w:val="26"/>
        </w:rPr>
        <w:t xml:space="preserve">Yuqoridagi shartnomaning </w:t>
      </w:r>
      <w:r>
        <w:rPr>
          <w:vanish w:val="false"/>
          <w:sz w:val="26"/>
          <w:rFonts w:ascii="Times New Roman" w:hAnsi="Times New Roman"/>
        </w:rPr>
        <w:fldChar w:fldCharType="begin"/>
        <w:instrText xml:space="preserve">X {"Y":17}</w:instrText>
        <w:fldChar w:fldCharType="separate"/>
      </w:r>
      <w:r>
        <w:rPr>
          <w:vanish w:val="false"/>
          <w:sz w:val="26"/>
          <w:rFonts w:ascii="Times New Roman" w:hAnsi="Times New Roman"/>
        </w:rPr>
        <w:t xml:space="preserve">Shartnomaning taʼmirlangan mahsulotlar uchun toʻlov oʻz vaqtida toʻlanishi lozimligi belgilangan bandi raqami</w:t>
        <w:fldChar w:fldCharType="end"/>
      </w:r>
      <w:r>
        <w:rPr>
          <w:sz w:val="26"/>
        </w:rPr>
        <w:t xml:space="preserve">-bandida koʻrsatilgan xizmatlar uchun toʻlovlar </w:t>
      </w:r>
      <w:r>
        <w:rPr>
          <w:vanish w:val="false"/>
          <w:sz w:val="26"/>
          <w:rFonts w:ascii="Times New Roman" w:hAnsi="Times New Roman"/>
        </w:rPr>
        <w:fldChar w:fldCharType="begin"/>
        <w:instrText xml:space="preserve">X {"Y":9}</w:instrText>
        <w:fldChar w:fldCharType="separate"/>
      </w:r>
      <w:r>
        <w:rPr>
          <w:vanish w:val="false"/>
          <w:sz w:val="26"/>
          <w:rFonts w:ascii="Times New Roman" w:hAnsi="Times New Roman"/>
        </w:rPr>
        <w:t xml:space="preserve">Talabnoma oluvchi tashkilot nomi  va tashkiliy-huquqiy shakli (qoʻlda toʻldiriladi)</w:t>
        <w:fldChar w:fldCharType="end"/>
      </w:r>
      <w:r>
        <w:rPr>
          <w:sz w:val="26"/>
        </w:rPr>
        <w:t xml:space="preserve"> tomonidan </w:t>
      </w:r>
      <w:r>
        <w:rPr>
          <w:vanish w:val="false"/>
          <w:sz w:val="26"/>
          <w:rFonts w:ascii="Times New Roman" w:hAnsi="Times New Roman"/>
        </w:rPr>
        <w:fldChar w:fldCharType="begin"/>
        <w:instrText xml:space="preserve">X {"Y":18}</w:instrText>
        <w:fldChar w:fldCharType="separate"/>
      </w:r>
      <w:r>
        <w:rPr>
          <w:vanish w:val="false"/>
          <w:sz w:val="26"/>
          <w:rFonts w:ascii="Times New Roman" w:hAnsi="Times New Roman"/>
        </w:rPr>
        <w:t xml:space="preserve">Shartnomaga asosan taʼmirlangan mahsulotlar uchun toʻlov shartnoma tuzilganidan soʻng necha ish kunida toʻlanishi lozim?</w:t>
        <w:fldChar w:fldCharType="end"/>
      </w:r>
      <w:r>
        <w:rPr>
          <w:sz w:val="26"/>
        </w:rPr>
        <w:t xml:space="preserve"> ish kuni ichida oʻtkazishi lozimligi, shartnomaning </w:t>
      </w:r>
      <w:r>
        <w:rPr>
          <w:vanish w:val="false"/>
          <w:sz w:val="26"/>
          <w:rFonts w:ascii="Times New Roman" w:hAnsi="Times New Roman"/>
        </w:rPr>
        <w:fldChar w:fldCharType="begin"/>
        <w:instrText xml:space="preserve">X {"Y":19}</w:instrText>
        <w:fldChar w:fldCharType="separate"/>
      </w:r>
      <w:r>
        <w:rPr>
          <w:vanish w:val="false"/>
          <w:sz w:val="26"/>
          <w:rFonts w:ascii="Times New Roman" w:hAnsi="Times New Roman"/>
        </w:rPr>
        <w:t xml:space="preserve">Shartnomaning taʼmirlangan mahsulotlar uchun toʻlov oʻz vaqtida toʻlashi lozimligi belgilangan bandi raqami</w:t>
        <w:fldChar w:fldCharType="end"/>
      </w:r>
      <w:r>
        <w:rPr>
          <w:sz w:val="26"/>
        </w:rPr>
        <w:t xml:space="preserve">-bandida esa belgilangan mudddatda xizmat haqi toʻlanishi lozimligi belgilangan. </w:t>
      </w:r>
    </w:p>
    <w:p>
      <w:pPr>
        <w:jc w:val="both"/>
        <w:ind w:firstLine="709"/>
        <w:rPr>
          <w:sz w:val="26"/>
        </w:rPr>
      </w:pPr>
      <w:r>
        <w:rPr>
          <w:sz w:val="26"/>
        </w:rPr>
        <w:t xml:space="preserve">Bajarilgan ishlar uchun </w:t>
      </w:r>
      <w:r>
        <w:rPr>
          <w:vanish w:val="false"/>
          <w:sz w:val="26"/>
          <w:rFonts w:ascii="Times New Roman" w:hAnsi="Times New Roman"/>
        </w:rPr>
        <w:fldChar w:fldCharType="begin"/>
        <w:instrText xml:space="preserve">X {"Y":20}</w:instrText>
        <w:fldChar w:fldCharType="separate"/>
      </w:r>
      <w:r>
        <w:rPr>
          <w:vanish w:val="false"/>
          <w:sz w:val="26"/>
          <w:rFonts w:ascii="Times New Roman" w:hAnsi="Times New Roman"/>
        </w:rPr>
        <w:t xml:space="preserve"> Qarzdor tomonidan toʻlanishi lozim boʻlgan qarz miqdori (qoʻlda toʻldiriladi)</w:t>
        <w:fldChar w:fldCharType="end"/>
      </w:r>
      <w:r>
        <w:rPr>
          <w:sz w:val="26"/>
        </w:rPr>
        <w:t xml:space="preserve">  soʻm qarzdorlik mavjudligi </w:t>
      </w:r>
      <w:r>
        <w:rPr>
          <w:vanish w:val="false"/>
          <w:sz w:val="26"/>
          <w:rFonts w:ascii="Times New Roman" w:hAnsi="Times New Roman"/>
        </w:rPr>
        <w:fldChar w:fldCharType="begin"/>
        <w:instrText xml:space="preserve">X {"Y":9}</w:instrText>
        <w:fldChar w:fldCharType="separate"/>
      </w:r>
      <w:r>
        <w:rPr>
          <w:vanish w:val="false"/>
          <w:sz w:val="26"/>
          <w:rFonts w:ascii="Times New Roman" w:hAnsi="Times New Roman"/>
        </w:rPr>
        <w:t xml:space="preserve">Talabnoma oluvchi tashkilot nomi  va tashkiliy-huquqiy shakli (qoʻlda toʻldiriladi)</w:t>
        <w:fldChar w:fldCharType="end"/>
      </w:r>
      <w:r>
        <w:rPr>
          <w:sz w:val="26"/>
        </w:rPr>
        <w:t xml:space="preserve">tomonidan tan olingan boʻlsada biroq, bir necha marotaba ogʻzaki ogohlantirishlar bildirilganligiga qaramasdan, shartnoma summasi hozirga qadar toʻlab berilmadi. </w:t>
      </w:r>
    </w:p>
    <w:p>
      <w:pPr>
        <w:jc w:val="both"/>
        <w:rPr>
          <w:sz w:val="26"/>
        </w:rPr>
      </w:pPr>
      <w:r>
        <w:rPr>
          <w:sz w:val="26"/>
        </w:rPr>
        <w:tab/>
        <w:t xml:space="preserve">Shuningdek, taʼmirlab, topshirish uchun tayyor holga keltirilgan </w:t>
      </w:r>
      <w:r>
        <w:rPr>
          <w:vanish w:val="false"/>
          <w:sz w:val="26"/>
          <w:rFonts w:ascii="Times New Roman" w:hAnsi="Times New Roman"/>
        </w:rPr>
        <w:fldChar w:fldCharType="begin"/>
        <w:instrText xml:space="preserve">X {"Y":23}</w:instrText>
        <w:fldChar w:fldCharType="separate"/>
      </w:r>
      <w:r>
        <w:rPr>
          <w:vanish w:val="false"/>
          <w:sz w:val="26"/>
          <w:rFonts w:ascii="Times New Roman" w:hAnsi="Times New Roman"/>
        </w:rPr>
        <w:t xml:space="preserve">Taʼmirlab, topshirish uchun tayyor holga keltirilgan, biroq olib ketilmagan ashyolar soni</w:t>
        <w:fldChar w:fldCharType="end"/>
      </w:r>
      <w:r>
        <w:rPr>
          <w:sz w:val="26"/>
        </w:rPr>
        <w:t xml:space="preserve"> ta </w:t>
      </w:r>
      <w:r>
        <w:rPr>
          <w:vanish w:val="false"/>
          <w:sz w:val="26"/>
          <w:rFonts w:ascii="Times New Roman" w:hAnsi="Times New Roman"/>
        </w:rPr>
        <w:fldChar w:fldCharType="begin"/>
        <w:instrText xml:space="preserve">X {"Y":15}</w:instrText>
        <w:fldChar w:fldCharType="separate"/>
      </w:r>
      <w:r>
        <w:rPr>
          <w:vanish w:val="false"/>
          <w:sz w:val="26"/>
          <w:rFonts w:ascii="Times New Roman" w:hAnsi="Times New Roman"/>
        </w:rPr>
        <w:t xml:space="preserve">Shartnoma boʻyicha taʼmirlab berilgan ashyolar nomi</w:t>
        <w:fldChar w:fldCharType="end"/>
      </w:r>
      <w:r>
        <w:rPr>
          <w:sz w:val="26"/>
        </w:rPr>
        <w:t xml:space="preserve"> hozirga qadar olib ketilmadi.</w:t>
      </w:r>
    </w:p>
    <w:p>
      <w:pPr>
        <w:jc w:val="both"/>
        <w:ind w:firstLine="708"/>
        <w:rPr>
          <w:sz w:val="26"/>
        </w:rPr>
      </w:pPr>
      <w:r>
        <w:rPr>
          <w:sz w:val="26"/>
        </w:rPr>
        <w:t xml:space="preserve">Oʻzbekiston Respublikasi “Xoʻjalik yurituvchi subyektlar faoliyatining shartnomaviy-huquqiy bazasi toʻgʻrisida”gi Qonunining 24-moddasida taraflardan biri shartnoma majburiyatlarini bajarmagan yoki lozim darajada bajarmagan taqdirda, bu taraf boshqa tarafga yetkazilgan zararni toʻlashi, Oʻzbekiston Respublikasi Fuqarolik kodeksida, ushbu Qonunda, oʻzga qonunchilik hujjatlarida va shartnomada nazarda tutilgan tartibda boshqacha tarzda javobgar boʻlishi belgilangan.</w:t>
      </w:r>
    </w:p>
    <w:p>
      <w:pPr>
        <w:jc w:val="both"/>
        <w:ind w:firstLine="709"/>
        <w:rPr>
          <w:sz w:val="26"/>
        </w:rPr>
      </w:pPr>
      <w:r>
        <w:rPr>
          <w:rStyle w:val="clauseprfx"/>
          <w:sz w:val="26"/>
          <w:rFonts w:ascii="Times New Roman" w:hAnsi="Times New Roman"/>
        </w:rPr>
        <w:t xml:space="preserve">Shu kabi, yuqoridagi qonunning 32-moddasida </w:t>
      </w:r>
      <w:r>
        <w:rPr>
          <w:sz w:val="26"/>
        </w:rPr>
        <w:t xml:space="preserve">toʻlov talabnomasi akseptini asossiz ravishda butunlay yoki qisman rad etganlik, shuningdek hisob-kitobning boshqa shakllarida tovarlar (ishlar, xizmatlar) haqini toʻlashdan bosh tortganlik (bank muassasasiga toʻlov topshiriqnomasini taqdim etmaganlik, chek bermaganlik, akkreditivni taqdim etmaganlik va hokazo) uchun sotib oluvchi (buyurtmachi) mahsulot yetkazib beruvchiga oʻzi toʻlashni rad etgan yoki bosh tortgan summaning 15 foizi miqdorida jarima toʻlaydi.</w:t>
      </w:r>
    </w:p>
    <w:p>
      <w:pPr>
        <w:pStyle w:val="a5"/>
        <w:jc w:val="both"/>
        <w:shd w:fill="ffffff"/>
        <w:ind w:firstLine="709"/>
        <w:spacing w:before="15" w:beforeAutoSpacing="false" w:after="0" w:afterAutoSpacing="false"/>
        <w:rPr>
          <w:sz w:val="26"/>
          <w:rFonts w:ascii="Times New Roman" w:hAnsi="Times New Roman"/>
        </w:rPr>
      </w:pPr>
      <w:r>
        <w:rPr>
          <w:sz w:val="26"/>
        </w:rPr>
        <w:t xml:space="preserve">Bundan tashqari, Oʻzbekiston Respublikasi Fuqarolik kodeksining 333-moddasiga muvofiq “Qarzdor aybi boʻlgan taqdirda majburiyatni bajarmaganligi yoki lozim darajada bajarmaganligi uchun, agar qonunchilikda yoki shartnomada boshqacha tartib belgilanmagan boʻlsa, javob beradi”deb belgilangan. </w:t>
      </w:r>
    </w:p>
    <w:p>
      <w:pPr>
        <w:pStyle w:val="a5"/>
        <w:jc w:val="both"/>
        <w:shd w:fill="ffffff"/>
        <w:ind w:firstLine="709"/>
        <w:spacing w:before="15" w:beforeAutoSpacing="false" w:after="0" w:afterAutoSpacing="false"/>
        <w:rPr>
          <w:b/>
          <w:sz w:val="26"/>
          <w:rFonts w:ascii="Times New Roman" w:hAnsi="Times New Roman"/>
        </w:rPr>
      </w:pPr>
      <w:r>
        <w:rPr>
          <w:sz w:val="26"/>
        </w:rPr>
        <w:t xml:space="preserve">Fuqarolik Kodeksining 290-moddasiga koʻra, qarzdorga topshirilishi lozim boʻlgan ashyoni saqlayotgan kreditor ushbu ashyo haqini yoki u bilan bogʻliq chiqimlar va boshqa zararni </w:t>
      </w:r>
      <w:r>
        <w:rPr>
          <w:b/>
          <w:sz w:val="26"/>
        </w:rPr>
        <w:t xml:space="preserve">kreditorga toʻlash majburiyatlari qapzdor tomonidan muddatida bajarilmagan taqdirda uni tegishli majburiyat bajarilgunga qadar ushlab qolishga haqli.</w:t>
      </w:r>
    </w:p>
    <w:p>
      <w:pPr>
        <w:jc w:val="both"/>
        <w:ind w:firstLine="709"/>
        <w:rPr>
          <w:sz w:val="26"/>
        </w:rPr>
      </w:pPr>
      <w:r>
        <w:rPr>
          <w:sz w:val="26"/>
        </w:rPr>
        <w:t xml:space="preserve">Mazkur Kodeksning 291-moddasiga koʻra,</w:t>
      </w:r>
      <w:r>
        <w:rPr>
          <w:b/>
          <w:sz w:val="26"/>
        </w:rPr>
        <w:t xml:space="preserve"> </w:t>
      </w:r>
      <w:r>
        <w:rPr>
          <w:sz w:val="26"/>
        </w:rPr>
        <w:t xml:space="preserve">ashyoni ushlab qolgan kreditorning talablari uning qiymatidan garov bilan taʼminlangan talablarni qondirish uchun nazarda tutilgan hajmda va tartibda qondiriladi.</w:t>
      </w:r>
    </w:p>
    <w:p>
      <w:pPr>
        <w:pStyle w:val="a5"/>
        <w:jc w:val="both"/>
        <w:shd w:fill="ffffff"/>
        <w:ind w:firstLine="708"/>
        <w:spacing w:before="15" w:beforeAutoSpacing="false" w:after="0" w:afterAutoSpacing="false"/>
        <w:rPr>
          <w:sz w:val="26"/>
          <w:rFonts w:ascii="Times New Roman" w:hAnsi="Times New Roman"/>
        </w:rPr>
      </w:pPr>
      <w:r>
        <w:rPr>
          <w:sz w:val="26"/>
        </w:rPr>
        <w:t xml:space="preserve">Yuqoridagilardan kelib chiqib, Oʻzbekiston Respublikasi “Xoʻjalik yurituvchi subyektlar faoliyatining shartnomaviy-huquqiy bazasi toʻgʻrisida”gi Qonunining 7, 17-19, 25-moddalariga, Oʻzbekiston Respublikasi Fuqarolik kodeksining 333-moddasiga, asosan quyidagilarni</w:t>
      </w:r>
    </w:p>
    <w:p>
      <w:pPr>
        <w:pStyle w:val="a5"/>
        <w:jc w:val="center"/>
        <w:shd w:fill="ffffff"/>
        <w:spacing w:before="15" w:beforeAutoSpacing="false" w:after="0" w:afterAutoSpacing="false"/>
        <w:rPr>
          <w:b/>
          <w:sz w:val="26"/>
          <w:rFonts w:ascii="Times New Roman" w:hAnsi="Times New Roman"/>
        </w:rPr>
      </w:pPr>
    </w:p>
    <w:p>
      <w:pPr>
        <w:pStyle w:val="a5"/>
        <w:jc w:val="center"/>
        <w:shd w:fill="ffffff"/>
        <w:spacing w:before="15" w:beforeAutoSpacing="false" w:after="0" w:afterAutoSpacing="false"/>
        <w:rPr>
          <w:sz w:val="26"/>
          <w:rFonts w:ascii="Times New Roman" w:hAnsi="Times New Roman"/>
        </w:rPr>
      </w:pPr>
      <w:r>
        <w:rPr>
          <w:b/>
          <w:sz w:val="26"/>
        </w:rPr>
        <w:t xml:space="preserve">TALAB QILAMIZ:</w:t>
      </w:r>
    </w:p>
    <w:p>
      <w:pPr>
        <w:jc w:val="both"/>
        <w:ind w:firstLine="709"/>
        <w:spacing w:line="276" w:lineRule="auto"/>
        <w:rPr>
          <w:sz w:val="26"/>
        </w:rPr>
      </w:pPr>
    </w:p>
    <w:p>
      <w:pPr>
        <w:jc w:val="both"/>
        <w:ind w:firstLine="709"/>
        <w:spacing w:line="276" w:lineRule="auto"/>
        <w:rPr>
          <w:sz w:val="26"/>
        </w:rPr>
      </w:pPr>
      <w:r>
        <w:rPr>
          <w:sz w:val="26"/>
        </w:rPr>
        <w:t xml:space="preserve">Shartnomaga asosan toʻlanishi lozim boʻlgan </w:t>
      </w:r>
      <w:r>
        <w:rPr>
          <w:vanish w:val="false"/>
          <w:sz w:val="26"/>
          <w:rFonts w:ascii="Times New Roman" w:hAnsi="Times New Roman"/>
        </w:rPr>
        <w:fldChar w:fldCharType="begin"/>
        <w:instrText xml:space="preserve">X {"Y":20}</w:instrText>
        <w:fldChar w:fldCharType="separate"/>
      </w:r>
      <w:r>
        <w:rPr>
          <w:vanish w:val="false"/>
          <w:sz w:val="26"/>
          <w:rFonts w:ascii="Times New Roman" w:hAnsi="Times New Roman"/>
        </w:rPr>
        <w:t xml:space="preserve"> Qarzdor tomonidan toʻlanishi lozim boʻlgan qarz miqdori (qoʻlda toʻldiriladi)</w:t>
        <w:fldChar w:fldCharType="end"/>
      </w:r>
      <w:r>
        <w:rPr>
          <w:sz w:val="26"/>
        </w:rPr>
        <w:t xml:space="preserve"> soʻm qarzdorlikni toʻlab berishingizni;</w:t>
      </w:r>
    </w:p>
    <w:p>
      <w:pPr>
        <w:jc w:val="both"/>
        <w:ind w:firstLine="709"/>
        <w:spacing w:line="276" w:lineRule="auto"/>
        <w:rPr>
          <w:sz w:val="26"/>
        </w:rPr>
      </w:pPr>
      <w:r>
        <w:rPr>
          <w:sz w:val="26"/>
        </w:rPr>
        <w:t xml:space="preserve">Yuqorida keltirilgan qonunchilik hujjatlarida belgilangan </w:t>
      </w:r>
      <w:r>
        <w:rPr>
          <w:vanish w:val="false"/>
          <w:sz w:val="26"/>
          <w:rFonts w:ascii="Times New Roman" w:hAnsi="Times New Roman"/>
        </w:rPr>
        <w:fldChar w:fldCharType="begin"/>
        <w:instrText xml:space="preserve">X {"Y":21}</w:instrText>
        <w:fldChar w:fldCharType="separate"/>
      </w:r>
      <w:r>
        <w:rPr>
          <w:vanish w:val="false"/>
          <w:sz w:val="26"/>
          <w:rFonts w:ascii="Times New Roman" w:hAnsi="Times New Roman"/>
        </w:rPr>
        <w:t xml:space="preserve">Qarzdor tomonidan toʻlanishi lozim boʻlgan jarima miqdori (qoʻlda toʻldiriladi)</w:t>
        <w:fldChar w:fldCharType="end"/>
      </w:r>
      <w:r>
        <w:rPr>
          <w:sz w:val="26"/>
        </w:rPr>
        <w:t xml:space="preserve"> soʻm jarima va </w:t>
      </w:r>
      <w:r>
        <w:rPr>
          <w:vanish w:val="false"/>
          <w:sz w:val="26"/>
          <w:rFonts w:ascii="Times New Roman" w:hAnsi="Times New Roman"/>
        </w:rPr>
        <w:fldChar w:fldCharType="begin"/>
        <w:instrText xml:space="preserve">X {"Y":22}</w:instrText>
        <w:fldChar w:fldCharType="separate"/>
      </w:r>
      <w:r>
        <w:rPr>
          <w:vanish w:val="false"/>
          <w:sz w:val="26"/>
          <w:rFonts w:ascii="Times New Roman" w:hAnsi="Times New Roman"/>
        </w:rPr>
        <w:t xml:space="preserve">Qarzdor tomonidan toʻlanishi lozim boʻlgan penya miqdori (qoʻlda toʻldiriladi)</w:t>
        <w:fldChar w:fldCharType="end"/>
      </w:r>
      <w:r>
        <w:rPr>
          <w:sz w:val="26"/>
        </w:rPr>
        <w:t xml:space="preserve"> soʻm penyalarni toʻlashingizni.</w:t>
      </w:r>
    </w:p>
    <w:p>
      <w:pPr>
        <w:jc w:val="both"/>
        <w:ind w:firstLine="709"/>
        <w:spacing w:line="276" w:lineRule="auto"/>
        <w:rPr>
          <w:b/>
          <w:i/>
          <w:sz w:val="26"/>
        </w:rPr>
      </w:pPr>
      <w:r>
        <w:rPr>
          <w:b/>
          <w:i/>
          <w:sz w:val="26"/>
        </w:rPr>
        <w:t xml:space="preserve">Aks holda, qarzdorlik va penya toʻlovlarini undirish yuqorida keltirilgan qonunchilik hujjatlaridan kelib chiqqan holda Siz tomoningizdan hozirga qadar olib ketilmagan </w:t>
      </w:r>
      <w:r>
        <w:rPr>
          <w:b/>
          <w:vanish w:val="false"/>
          <w:sz w:val="26"/>
          <w:rFonts w:ascii="Times New Roman" w:hAnsi="Times New Roman"/>
        </w:rPr>
        <w:fldChar w:fldCharType="begin"/>
        <w:instrText xml:space="preserve">X {"Y":23}</w:instrText>
        <w:fldChar w:fldCharType="separate"/>
      </w:r>
      <w:r>
        <w:rPr>
          <w:b/>
          <w:vanish w:val="false"/>
          <w:sz w:val="26"/>
          <w:rFonts w:ascii="Times New Roman" w:hAnsi="Times New Roman"/>
        </w:rPr>
        <w:t xml:space="preserve">Taʼmirlab, topshirish uchun tayyor holga keltirilgan, biroq olib ketilmagan ashyolar soni</w:t>
        <w:fldChar w:fldCharType="end"/>
      </w:r>
      <w:r>
        <w:rPr>
          <w:b/>
          <w:sz w:val="26"/>
        </w:rPr>
        <w:t xml:space="preserve"> ta </w:t>
      </w:r>
      <w:r>
        <w:rPr>
          <w:b/>
          <w:vanish w:val="false"/>
          <w:sz w:val="26"/>
          <w:rFonts w:ascii="Times New Roman" w:hAnsi="Times New Roman"/>
        </w:rPr>
        <w:fldChar w:fldCharType="begin"/>
        <w:instrText xml:space="preserve">X {"Y":15}</w:instrText>
        <w:fldChar w:fldCharType="separate"/>
      </w:r>
      <w:r>
        <w:rPr>
          <w:b/>
          <w:vanish w:val="false"/>
          <w:sz w:val="26"/>
          <w:rFonts w:ascii="Times New Roman" w:hAnsi="Times New Roman"/>
        </w:rPr>
        <w:t xml:space="preserve">Shartnoma boʻyicha taʼmirlab berilgan ashyolar nomi</w:t>
        <w:fldChar w:fldCharType="end"/>
      </w:r>
      <w:r>
        <w:rPr>
          <w:b/>
          <w:sz w:val="26"/>
        </w:rPr>
        <w:t xml:space="preserve">ga </w:t>
      </w:r>
      <w:r>
        <w:rPr>
          <w:b/>
          <w:i/>
          <w:sz w:val="26"/>
        </w:rPr>
        <w:t xml:space="preserve">qaratilishini yoki Oʻzbekiston Respublikasi Iqtisodiy protsessual kodeksining 148-151 moddalariga asosan iqtisodiy sudiga daʼvo arizasi kiritilishini maʼlum qilamiz.</w:t>
      </w:r>
    </w:p>
    <w:p>
      <w:pPr>
        <w:jc w:val="both"/>
        <w:ind w:firstLine="709"/>
        <w:spacing w:line="276" w:lineRule="auto"/>
        <w:rPr>
          <w:sz w:val="26"/>
        </w:rPr>
      </w:pPr>
    </w:p>
    <w:p>
      <w:pPr>
        <w:jc w:val="both"/>
        <w:ind w:firstLine="709"/>
        <w:spacing w:line="276" w:lineRule="auto"/>
        <w:rPr>
          <w:sz w:val="26"/>
        </w:rPr>
      </w:pPr>
      <w:r>
        <w:rPr>
          <w:sz w:val="26"/>
        </w:rPr>
        <w:t xml:space="preserve">Hurmat bilan, </w:t>
      </w:r>
    </w:p>
    <w:p>
      <w:pPr>
        <w:jc w:val="both"/>
        <w:ind w:firstLine="708"/>
        <w:rPr>
          <w:sz w:val="26"/>
        </w:rPr>
      </w:pPr>
    </w:p>
    <w:tbl>
      <w:tblPr>
        <w:tblStyle w:val="a4"/>
        <w:tblW w:w="9640" w:type="dxa"/>
        <w:tblInd w:w="-142" w:type="dxa"/>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532"/>
        <w:gridCol w:w="1840"/>
        <w:gridCol w:w="3268"/>
      </w:tblGrid>
      <w:tr>
        <w:tc>
          <w:tcPr>
            <w:tcW w:w="4532" w:type="dxa"/>
          </w:tcPr>
          <w:p>
            <w:pPr>
              <w:jc w:val="center"/>
              <w:rPr>
                <w:b/>
                <w:sz w:val="26"/>
              </w:rPr>
            </w:pPr>
            <w:r>
              <w:rPr>
                <w:vanish w:val="false"/>
                <w:sz w:val="26"/>
                <w:rFonts w:ascii="Times New Roman" w:hAnsi="Times New Roman"/>
              </w:rPr>
              <w:fldChar w:fldCharType="begin"/>
              <w:instrText xml:space="preserve">X {"Y":6}</w:instrText>
              <w:fldChar w:fldCharType="separate"/>
            </w:r>
            <w:r>
              <w:rPr>
                <w:vanish w:val="false"/>
                <w:sz w:val="26"/>
                <w:rFonts w:ascii="Times New Roman" w:hAnsi="Times New Roman"/>
              </w:rPr>
              <w:t xml:space="preserve">Talabnoma beruvchi tashkilot nomi  va tashkiliy-huquqiy shakli (qoʻlda toʻldiriladi)</w:t>
              <w:fldChar w:fldCharType="end"/>
            </w:r>
            <w:r>
              <w:rPr>
                <w:sz w:val="26"/>
              </w:rPr>
              <w:t>rahbari</w:t>
            </w:r>
          </w:p>
        </w:tc>
        <w:tc>
          <w:tcPr>
            <w:tcW w:w="1840" w:type="dxa"/>
          </w:tcPr>
          <w:p>
            <w:pPr>
              <w:jc w:val="both"/>
              <w:rPr>
                <w:b/>
                <w:sz w:val="26"/>
              </w:rPr>
            </w:pPr>
          </w:p>
        </w:tc>
        <w:tc>
          <w:tcPr>
            <w:tcW w:w="3268" w:type="dxa"/>
          </w:tcPr>
          <w:p>
            <w:pPr>
              <w:jc w:val="center"/>
              <w:rPr>
                <w:b/>
                <w:sz w:val="26"/>
              </w:rPr>
            </w:pPr>
            <w:r>
              <w:rPr>
                <w:vanish w:val="false"/>
                <w:sz w:val="26"/>
                <w:rFonts w:ascii="Times New Roman" w:hAnsi="Times New Roman"/>
              </w:rPr>
              <w:fldChar w:fldCharType="begin"/>
              <w:instrText xml:space="preserve">X {"Y":7}</w:instrText>
              <w:fldChar w:fldCharType="separate"/>
            </w:r>
            <w:r>
              <w:rPr>
                <w:vanish w:val="false"/>
                <w:sz w:val="26"/>
                <w:rFonts w:ascii="Times New Roman" w:hAnsi="Times New Roman"/>
              </w:rPr>
              <w:t xml:space="preserve">Talabnoma beruvchi tashkilot rahbarining F.I.Sh. (qoʻlda toʻldiriladi)</w:t>
              <w:fldChar w:fldCharType="end"/>
            </w:r>
          </w:p>
        </w:tc>
      </w:tr>
    </w:tbl>
    <w:p>
      <w:pPr>
        <w:jc w:val="both"/>
        <w:ind w:firstLine="708"/>
        <w:rPr>
          <w:sz w:val="26"/>
        </w:rPr>
      </w:pPr>
    </w:p>
    <w:p>
      <w:pPr>
        <w:jc w:val="both"/>
        <w:ind w:firstLine="708"/>
        <w:rPr>
          <w:sz w:val="26"/>
        </w:rPr>
      </w:pPr>
    </w:p>
    <w:p>
      <w:pPr>
        <w:jc w:val="both"/>
        <w:ind w:firstLine="708"/>
        <w:rPr>
          <w:sz w:val="26"/>
        </w:rPr>
      </w:pPr>
    </w:p>
    <w:p>
      <w:pPr>
        <w:jc w:val="both"/>
        <w:spacing w:line="276" w:lineRule="auto"/>
        <w:tabs>
          <w:tab w:val="left" w:pos="0"/>
          <w:tab w:val="left" w:pos="6379"/>
        </w:tabs>
        <w:rPr>
          <w:b/>
          <w:sz w:val="26"/>
        </w:rPr>
      </w:pPr>
      <w:r>
        <w:rPr>
          <w:b/>
          <w:sz w:val="26"/>
        </w:rPr>
      </w:r>
    </w:p>
    <w:p>
      <w:pPr>
        <w:jc w:val="both"/>
        <w:ind w:firstLine="708"/>
        <w:rPr>
          <w:sz w:val="26"/>
        </w:rPr>
      </w:pPr>
    </w:p>
    <w:p>
      <w:pPr>
        <w:jc w:val="both"/>
        <w:ind w:firstLine="708"/>
        <w:rPr>
          <w:sz w:val="26"/>
        </w:rPr>
      </w:pPr>
    </w:p>
    <w:p>
      <w:pPr>
        <w:jc w:val="both"/>
        <w:ind w:firstLine="708"/>
        <w:rPr>
          <w:sz w:val="26"/>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098"/>
    <w:rsid w:val="00083787"/>
    <w:rsid w:val="0017047F"/>
    <w:rsid w:val="0018412D"/>
    <w:rsid w:val="00185F08"/>
    <w:rsid w:val="001B37CD"/>
    <w:rsid w:val="001C122F"/>
    <w:rsid w:val="001E7960"/>
    <w:rsid w:val="002118B9"/>
    <w:rsid w:val="00245845"/>
    <w:rsid w:val="00257AF2"/>
    <w:rsid w:val="0026270D"/>
    <w:rsid w:val="00274395"/>
    <w:rsid w:val="00274836"/>
    <w:rsid w:val="00294931"/>
    <w:rsid w:val="002E7A4C"/>
    <w:rsid w:val="003317DE"/>
    <w:rsid w:val="00353337"/>
    <w:rsid w:val="00387960"/>
    <w:rsid w:val="003B487C"/>
    <w:rsid w:val="00402040"/>
    <w:rsid w:val="00456A33"/>
    <w:rsid w:val="004D1AC2"/>
    <w:rsid w:val="004D6B1F"/>
    <w:rsid w:val="00556271"/>
    <w:rsid w:val="00575352"/>
    <w:rsid w:val="005F0E3D"/>
    <w:rsid w:val="006B4098"/>
    <w:rsid w:val="006E171A"/>
    <w:rsid w:val="007D206F"/>
    <w:rsid w:val="007E1808"/>
    <w:rsid w:val="007E535F"/>
    <w:rsid w:val="007E7039"/>
    <w:rsid w:val="0082202A"/>
    <w:rsid w:val="0083437D"/>
    <w:rsid w:val="008444B4"/>
    <w:rsid w:val="008A63C9"/>
    <w:rsid w:val="008F11E8"/>
    <w:rsid w:val="009179E3"/>
    <w:rsid w:val="00997B3E"/>
    <w:rsid w:val="00A56907"/>
    <w:rsid w:val="00A6079F"/>
    <w:rsid w:val="00A614D6"/>
    <w:rsid w:val="00A810C7"/>
    <w:rsid w:val="00AA3EC2"/>
    <w:rsid w:val="00B42618"/>
    <w:rsid w:val="00B6270A"/>
    <w:rsid w:val="00B710EB"/>
    <w:rsid w:val="00BB18E8"/>
    <w:rsid w:val="00BD33E1"/>
    <w:rsid w:val="00BD5A82"/>
    <w:rsid w:val="00C32579"/>
    <w:rsid w:val="00C3399B"/>
    <w:rsid w:val="00C410DF"/>
    <w:rsid w:val="00C5703F"/>
    <w:rsid w:val="00C7509A"/>
    <w:rsid w:val="00D04599"/>
    <w:rsid w:val="00D24D51"/>
    <w:rsid w:val="00D36C7B"/>
    <w:rsid w:val="00D43C87"/>
    <w:rsid w:val="00DC0812"/>
    <w:rsid w:val="00DC1DF5"/>
    <w:rsid w:val="00E436BB"/>
    <w:rsid w:val="00E61DC7"/>
    <w:rsid w:val="00E755F4"/>
    <w:rsid w:val="00E80750"/>
    <w:rsid w:val="00E8372B"/>
    <w:rsid w:val="00EB2037"/>
    <w:rsid w:val="00F07EF7"/>
    <w:rsid w:val="00FC14D3"/>
    <w:rsid w:val="00FC3C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DA06D1-7CA2-4511-8BC8-0B3B4DB70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483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7483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lauseprfx">
    <w:name w:val="clauseprfx"/>
    <w:basedOn w:val="a0"/>
    <w:rsid w:val="0026270D"/>
  </w:style>
  <w:style w:type="character" w:customStyle="1" w:styleId="clausesuff">
    <w:name w:val="clausesuff"/>
    <w:basedOn w:val="a0"/>
    <w:rsid w:val="0026270D"/>
  </w:style>
  <w:style w:type="character" w:styleId="a3">
    <w:name w:val="Hyperlink"/>
    <w:basedOn w:val="a0"/>
    <w:uiPriority w:val="99"/>
    <w:semiHidden/>
    <w:unhideWhenUsed/>
    <w:rsid w:val="0026270D"/>
    <w:rPr>
      <w:color w:val="0000FF"/>
      <w:u w:val="single"/>
    </w:rPr>
  </w:style>
  <w:style w:type="table" w:styleId="a4">
    <w:name w:val="Table Grid"/>
    <w:basedOn w:val="a1"/>
    <w:uiPriority w:val="39"/>
    <w:rsid w:val="00AA3E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2118B9"/>
    <w:pPr>
      <w:spacing w:before="100" w:beforeAutospacing="1" w:after="100" w:afterAutospacing="1"/>
    </w:pPr>
  </w:style>
  <w:style w:type="character" w:customStyle="1" w:styleId="structures">
    <w:name w:val="structures"/>
    <w:basedOn w:val="a0"/>
    <w:rsid w:val="002118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025137">
      <w:bodyDiv w:val="1"/>
      <w:marLeft w:val="0"/>
      <w:marRight w:val="0"/>
      <w:marTop w:val="0"/>
      <w:marBottom w:val="0"/>
      <w:divBdr>
        <w:top w:val="none" w:sz="0" w:space="0" w:color="auto"/>
        <w:left w:val="none" w:sz="0" w:space="0" w:color="auto"/>
        <w:bottom w:val="none" w:sz="0" w:space="0" w:color="auto"/>
        <w:right w:val="none" w:sz="0" w:space="0" w:color="auto"/>
      </w:divBdr>
      <w:divsChild>
        <w:div w:id="1188838452">
          <w:marLeft w:val="0"/>
          <w:marRight w:val="0"/>
          <w:marTop w:val="120"/>
          <w:marBottom w:val="120"/>
          <w:divBdr>
            <w:top w:val="none" w:sz="0" w:space="0" w:color="auto"/>
            <w:left w:val="none" w:sz="0" w:space="0" w:color="auto"/>
            <w:bottom w:val="none" w:sz="0" w:space="0" w:color="auto"/>
            <w:right w:val="none" w:sz="0" w:space="0" w:color="auto"/>
          </w:divBdr>
        </w:div>
        <w:div w:id="810251565">
          <w:marLeft w:val="0"/>
          <w:marRight w:val="0"/>
          <w:marTop w:val="60"/>
          <w:marBottom w:val="60"/>
          <w:divBdr>
            <w:top w:val="none" w:sz="0" w:space="0" w:color="auto"/>
            <w:left w:val="none" w:sz="0" w:space="0" w:color="auto"/>
            <w:bottom w:val="none" w:sz="0" w:space="0" w:color="auto"/>
            <w:right w:val="none" w:sz="0" w:space="0" w:color="auto"/>
          </w:divBdr>
        </w:div>
        <w:div w:id="1734547500">
          <w:marLeft w:val="0"/>
          <w:marRight w:val="0"/>
          <w:marTop w:val="0"/>
          <w:marBottom w:val="150"/>
          <w:divBdr>
            <w:top w:val="none" w:sz="0" w:space="0" w:color="auto"/>
            <w:left w:val="none" w:sz="0" w:space="0" w:color="auto"/>
            <w:bottom w:val="none" w:sz="0" w:space="0" w:color="auto"/>
            <w:right w:val="none" w:sz="0" w:space="0" w:color="auto"/>
          </w:divBdr>
        </w:div>
        <w:div w:id="1858496465">
          <w:marLeft w:val="0"/>
          <w:marRight w:val="0"/>
          <w:marTop w:val="0"/>
          <w:marBottom w:val="150"/>
          <w:divBdr>
            <w:top w:val="none" w:sz="0" w:space="0" w:color="auto"/>
            <w:left w:val="none" w:sz="0" w:space="0" w:color="auto"/>
            <w:bottom w:val="none" w:sz="0" w:space="0" w:color="auto"/>
            <w:right w:val="none" w:sz="0" w:space="0" w:color="auto"/>
          </w:divBdr>
        </w:div>
        <w:div w:id="1819030399">
          <w:marLeft w:val="0"/>
          <w:marRight w:val="0"/>
          <w:marTop w:val="0"/>
          <w:marBottom w:val="150"/>
          <w:divBdr>
            <w:top w:val="none" w:sz="0" w:space="0" w:color="auto"/>
            <w:left w:val="none" w:sz="0" w:space="0" w:color="auto"/>
            <w:bottom w:val="none" w:sz="0" w:space="0" w:color="auto"/>
            <w:right w:val="none" w:sz="0" w:space="0" w:color="auto"/>
          </w:divBdr>
        </w:div>
      </w:divsChild>
    </w:div>
    <w:div w:id="1048141209">
      <w:bodyDiv w:val="1"/>
      <w:marLeft w:val="0"/>
      <w:marRight w:val="0"/>
      <w:marTop w:val="0"/>
      <w:marBottom w:val="0"/>
      <w:divBdr>
        <w:top w:val="none" w:sz="0" w:space="0" w:color="auto"/>
        <w:left w:val="none" w:sz="0" w:space="0" w:color="auto"/>
        <w:bottom w:val="none" w:sz="0" w:space="0" w:color="auto"/>
        <w:right w:val="none" w:sz="0" w:space="0" w:color="auto"/>
      </w:divBdr>
    </w:div>
    <w:div w:id="1620406474">
      <w:bodyDiv w:val="1"/>
      <w:marLeft w:val="0"/>
      <w:marRight w:val="0"/>
      <w:marTop w:val="0"/>
      <w:marBottom w:val="0"/>
      <w:divBdr>
        <w:top w:val="none" w:sz="0" w:space="0" w:color="auto"/>
        <w:left w:val="none" w:sz="0" w:space="0" w:color="auto"/>
        <w:bottom w:val="none" w:sz="0" w:space="0" w:color="auto"/>
        <w:right w:val="none" w:sz="0" w:space="0" w:color="auto"/>
      </w:divBdr>
      <w:divsChild>
        <w:div w:id="2102141787">
          <w:marLeft w:val="0"/>
          <w:marRight w:val="0"/>
          <w:marTop w:val="150"/>
          <w:marBottom w:val="300"/>
          <w:divBdr>
            <w:top w:val="none" w:sz="0" w:space="0" w:color="auto"/>
            <w:left w:val="none" w:sz="0" w:space="0" w:color="auto"/>
            <w:bottom w:val="none" w:sz="0" w:space="0" w:color="auto"/>
            <w:right w:val="none" w:sz="0" w:space="0" w:color="auto"/>
          </w:divBdr>
          <w:divsChild>
            <w:div w:id="1625650583">
              <w:marLeft w:val="0"/>
              <w:marRight w:val="0"/>
              <w:marTop w:val="0"/>
              <w:marBottom w:val="0"/>
              <w:divBdr>
                <w:top w:val="none" w:sz="0" w:space="0" w:color="auto"/>
                <w:left w:val="none" w:sz="0" w:space="0" w:color="auto"/>
                <w:bottom w:val="none" w:sz="0" w:space="0" w:color="auto"/>
                <w:right w:val="none" w:sz="0" w:space="0" w:color="auto"/>
              </w:divBdr>
              <w:divsChild>
                <w:div w:id="622493280">
                  <w:marLeft w:val="0"/>
                  <w:marRight w:val="0"/>
                  <w:marTop w:val="0"/>
                  <w:marBottom w:val="0"/>
                  <w:divBdr>
                    <w:top w:val="none" w:sz="0" w:space="0" w:color="auto"/>
                    <w:left w:val="none" w:sz="0" w:space="0" w:color="auto"/>
                    <w:bottom w:val="none" w:sz="0" w:space="0" w:color="auto"/>
                    <w:right w:val="none" w:sz="0" w:space="0" w:color="auto"/>
                  </w:divBdr>
                  <w:divsChild>
                    <w:div w:id="170054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749669">
              <w:marLeft w:val="0"/>
              <w:marRight w:val="0"/>
              <w:marTop w:val="0"/>
              <w:marBottom w:val="0"/>
              <w:divBdr>
                <w:top w:val="none" w:sz="0" w:space="0" w:color="auto"/>
                <w:left w:val="none" w:sz="0" w:space="0" w:color="auto"/>
                <w:bottom w:val="none" w:sz="0" w:space="0" w:color="auto"/>
                <w:right w:val="none" w:sz="0" w:space="0" w:color="auto"/>
              </w:divBdr>
              <w:divsChild>
                <w:div w:id="1710229047">
                  <w:marLeft w:val="0"/>
                  <w:marRight w:val="0"/>
                  <w:marTop w:val="0"/>
                  <w:marBottom w:val="0"/>
                  <w:divBdr>
                    <w:top w:val="none" w:sz="0" w:space="0" w:color="auto"/>
                    <w:left w:val="none" w:sz="0" w:space="0" w:color="auto"/>
                    <w:bottom w:val="none" w:sz="0" w:space="0" w:color="auto"/>
                    <w:right w:val="none" w:sz="0" w:space="0" w:color="auto"/>
                  </w:divBdr>
                  <w:divsChild>
                    <w:div w:id="1196583106">
                      <w:marLeft w:val="0"/>
                      <w:marRight w:val="0"/>
                      <w:marTop w:val="0"/>
                      <w:marBottom w:val="0"/>
                      <w:divBdr>
                        <w:top w:val="none" w:sz="0" w:space="0" w:color="auto"/>
                        <w:left w:val="none" w:sz="0" w:space="0" w:color="auto"/>
                        <w:bottom w:val="none" w:sz="0" w:space="0" w:color="auto"/>
                        <w:right w:val="none" w:sz="0" w:space="0" w:color="auto"/>
                      </w:divBdr>
                    </w:div>
                    <w:div w:id="2083792164">
                      <w:marLeft w:val="0"/>
                      <w:marRight w:val="0"/>
                      <w:marTop w:val="0"/>
                      <w:marBottom w:val="0"/>
                      <w:divBdr>
                        <w:top w:val="single" w:sz="6" w:space="4" w:color="ECECEC"/>
                        <w:left w:val="single" w:sz="6" w:space="13" w:color="ECECEC"/>
                        <w:bottom w:val="single" w:sz="6" w:space="4" w:color="ECECEC"/>
                        <w:right w:val="single" w:sz="6" w:space="13" w:color="ECECEC"/>
                      </w:divBdr>
                    </w:div>
                  </w:divsChild>
                </w:div>
              </w:divsChild>
            </w:div>
            <w:div w:id="343284701">
              <w:marLeft w:val="0"/>
              <w:marRight w:val="0"/>
              <w:marTop w:val="0"/>
              <w:marBottom w:val="0"/>
              <w:divBdr>
                <w:top w:val="none" w:sz="0" w:space="0" w:color="auto"/>
                <w:left w:val="none" w:sz="0" w:space="0" w:color="auto"/>
                <w:bottom w:val="none" w:sz="0" w:space="0" w:color="auto"/>
                <w:right w:val="none" w:sz="0" w:space="0" w:color="auto"/>
              </w:divBdr>
              <w:divsChild>
                <w:div w:id="1687174996">
                  <w:marLeft w:val="0"/>
                  <w:marRight w:val="0"/>
                  <w:marTop w:val="0"/>
                  <w:marBottom w:val="0"/>
                  <w:divBdr>
                    <w:top w:val="none" w:sz="0" w:space="0" w:color="auto"/>
                    <w:left w:val="none" w:sz="0" w:space="0" w:color="auto"/>
                    <w:bottom w:val="none" w:sz="0" w:space="0" w:color="auto"/>
                    <w:right w:val="none" w:sz="0" w:space="0" w:color="auto"/>
                  </w:divBdr>
                  <w:divsChild>
                    <w:div w:id="1498111966">
                      <w:marLeft w:val="0"/>
                      <w:marRight w:val="0"/>
                      <w:marTop w:val="0"/>
                      <w:marBottom w:val="0"/>
                      <w:divBdr>
                        <w:top w:val="none" w:sz="0" w:space="0" w:color="auto"/>
                        <w:left w:val="none" w:sz="0" w:space="0" w:color="auto"/>
                        <w:bottom w:val="none" w:sz="0" w:space="0" w:color="auto"/>
                        <w:right w:val="none" w:sz="0" w:space="0" w:color="auto"/>
                      </w:divBdr>
                      <w:divsChild>
                        <w:div w:id="1071079263">
                          <w:marLeft w:val="0"/>
                          <w:marRight w:val="0"/>
                          <w:marTop w:val="0"/>
                          <w:marBottom w:val="0"/>
                          <w:divBdr>
                            <w:top w:val="none" w:sz="0" w:space="0" w:color="auto"/>
                            <w:left w:val="none" w:sz="0" w:space="0" w:color="auto"/>
                            <w:bottom w:val="none" w:sz="0" w:space="0" w:color="auto"/>
                            <w:right w:val="none" w:sz="0" w:space="0" w:color="auto"/>
                          </w:divBdr>
                        </w:div>
                      </w:divsChild>
                    </w:div>
                    <w:div w:id="2054454657">
                      <w:marLeft w:val="0"/>
                      <w:marRight w:val="0"/>
                      <w:marTop w:val="0"/>
                      <w:marBottom w:val="0"/>
                      <w:divBdr>
                        <w:top w:val="none" w:sz="0" w:space="0" w:color="auto"/>
                        <w:left w:val="none" w:sz="0" w:space="0" w:color="auto"/>
                        <w:bottom w:val="none" w:sz="0" w:space="0" w:color="auto"/>
                        <w:right w:val="none" w:sz="0" w:space="0" w:color="auto"/>
                      </w:divBdr>
                      <w:divsChild>
                        <w:div w:id="167911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0353922">
      <w:bodyDiv w:val="1"/>
      <w:marLeft w:val="0"/>
      <w:marRight w:val="0"/>
      <w:marTop w:val="0"/>
      <w:marBottom w:val="0"/>
      <w:divBdr>
        <w:top w:val="none" w:sz="0" w:space="0" w:color="auto"/>
        <w:left w:val="none" w:sz="0" w:space="0" w:color="auto"/>
        <w:bottom w:val="none" w:sz="0" w:space="0" w:color="auto"/>
        <w:right w:val="none" w:sz="0" w:space="0" w:color="auto"/>
      </w:divBdr>
      <w:divsChild>
        <w:div w:id="657156127">
          <w:marLeft w:val="0"/>
          <w:marRight w:val="0"/>
          <w:marTop w:val="120"/>
          <w:marBottom w:val="120"/>
          <w:divBdr>
            <w:top w:val="none" w:sz="0" w:space="0" w:color="auto"/>
            <w:left w:val="none" w:sz="0" w:space="0" w:color="auto"/>
            <w:bottom w:val="none" w:sz="0" w:space="0" w:color="auto"/>
            <w:right w:val="none" w:sz="0" w:space="0" w:color="auto"/>
          </w:divBdr>
        </w:div>
        <w:div w:id="383329570">
          <w:marLeft w:val="0"/>
          <w:marRight w:val="0"/>
          <w:marTop w:val="0"/>
          <w:marBottom w:val="150"/>
          <w:divBdr>
            <w:top w:val="none" w:sz="0" w:space="0" w:color="auto"/>
            <w:left w:val="none" w:sz="0" w:space="0" w:color="auto"/>
            <w:bottom w:val="none" w:sz="0" w:space="0" w:color="auto"/>
            <w:right w:val="none" w:sz="0" w:space="0" w:color="auto"/>
          </w:divBdr>
        </w:div>
        <w:div w:id="760688159">
          <w:marLeft w:val="0"/>
          <w:marRight w:val="0"/>
          <w:marTop w:val="0"/>
          <w:marBottom w:val="150"/>
          <w:divBdr>
            <w:top w:val="none" w:sz="0" w:space="0" w:color="auto"/>
            <w:left w:val="none" w:sz="0" w:space="0" w:color="auto"/>
            <w:bottom w:val="none" w:sz="0" w:space="0" w:color="auto"/>
            <w:right w:val="none" w:sz="0" w:space="0" w:color="auto"/>
          </w:divBdr>
        </w:div>
        <w:div w:id="1650359925">
          <w:marLeft w:val="0"/>
          <w:marRight w:val="0"/>
          <w:marTop w:val="60"/>
          <w:marBottom w:val="60"/>
          <w:divBdr>
            <w:top w:val="none" w:sz="0" w:space="0" w:color="auto"/>
            <w:left w:val="none" w:sz="0" w:space="0" w:color="auto"/>
            <w:bottom w:val="none" w:sz="0" w:space="0" w:color="auto"/>
            <w:right w:val="none" w:sz="0" w:space="0" w:color="auto"/>
          </w:divBdr>
        </w:div>
        <w:div w:id="1844121133">
          <w:marLeft w:val="0"/>
          <w:marRight w:val="0"/>
          <w:marTop w:val="0"/>
          <w:marBottom w:val="150"/>
          <w:divBdr>
            <w:top w:val="none" w:sz="0" w:space="0" w:color="auto"/>
            <w:left w:val="none" w:sz="0" w:space="0" w:color="auto"/>
            <w:bottom w:val="none" w:sz="0" w:space="0" w:color="auto"/>
            <w:right w:val="none" w:sz="0" w:space="0" w:color="auto"/>
          </w:divBdr>
        </w:div>
      </w:divsChild>
    </w:div>
    <w:div w:id="1736389214">
      <w:bodyDiv w:val="1"/>
      <w:marLeft w:val="0"/>
      <w:marRight w:val="0"/>
      <w:marTop w:val="0"/>
      <w:marBottom w:val="0"/>
      <w:divBdr>
        <w:top w:val="none" w:sz="0" w:space="0" w:color="auto"/>
        <w:left w:val="none" w:sz="0" w:space="0" w:color="auto"/>
        <w:bottom w:val="none" w:sz="0" w:space="0" w:color="auto"/>
        <w:right w:val="none" w:sz="0" w:space="0" w:color="auto"/>
      </w:divBdr>
      <w:divsChild>
        <w:div w:id="2019312907">
          <w:marLeft w:val="0"/>
          <w:marRight w:val="0"/>
          <w:marTop w:val="120"/>
          <w:marBottom w:val="120"/>
          <w:divBdr>
            <w:top w:val="none" w:sz="0" w:space="0" w:color="auto"/>
            <w:left w:val="none" w:sz="0" w:space="0" w:color="auto"/>
            <w:bottom w:val="none" w:sz="0" w:space="0" w:color="auto"/>
            <w:right w:val="none" w:sz="0" w:space="0" w:color="auto"/>
          </w:divBdr>
        </w:div>
        <w:div w:id="1641224136">
          <w:marLeft w:val="0"/>
          <w:marRight w:val="0"/>
          <w:marTop w:val="0"/>
          <w:marBottom w:val="150"/>
          <w:divBdr>
            <w:top w:val="none" w:sz="0" w:space="0" w:color="auto"/>
            <w:left w:val="none" w:sz="0" w:space="0" w:color="auto"/>
            <w:bottom w:val="none" w:sz="0" w:space="0" w:color="auto"/>
            <w:right w:val="none" w:sz="0" w:space="0" w:color="auto"/>
          </w:divBdr>
        </w:div>
        <w:div w:id="1747612544">
          <w:marLeft w:val="0"/>
          <w:marRight w:val="0"/>
          <w:marTop w:val="60"/>
          <w:marBottom w:val="60"/>
          <w:divBdr>
            <w:top w:val="none" w:sz="0" w:space="0" w:color="auto"/>
            <w:left w:val="none" w:sz="0" w:space="0" w:color="auto"/>
            <w:bottom w:val="none" w:sz="0" w:space="0" w:color="auto"/>
            <w:right w:val="none" w:sz="0" w:space="0" w:color="auto"/>
          </w:divBdr>
        </w:div>
        <w:div w:id="465589103">
          <w:marLeft w:val="0"/>
          <w:marRight w:val="0"/>
          <w:marTop w:val="0"/>
          <w:marBottom w:val="150"/>
          <w:divBdr>
            <w:top w:val="none" w:sz="0" w:space="0" w:color="auto"/>
            <w:left w:val="none" w:sz="0" w:space="0" w:color="auto"/>
            <w:bottom w:val="none" w:sz="0" w:space="0" w:color="auto"/>
            <w:right w:val="none" w:sz="0" w:space="0" w:color="auto"/>
          </w:divBdr>
        </w:div>
      </w:divsChild>
    </w:div>
    <w:div w:id="2131394050">
      <w:bodyDiv w:val="1"/>
      <w:marLeft w:val="0"/>
      <w:marRight w:val="0"/>
      <w:marTop w:val="0"/>
      <w:marBottom w:val="0"/>
      <w:divBdr>
        <w:top w:val="none" w:sz="0" w:space="0" w:color="auto"/>
        <w:left w:val="none" w:sz="0" w:space="0" w:color="auto"/>
        <w:bottom w:val="none" w:sz="0" w:space="0" w:color="auto"/>
        <w:right w:val="none" w:sz="0" w:space="0" w:color="auto"/>
      </w:divBdr>
      <w:divsChild>
        <w:div w:id="901986172">
          <w:marLeft w:val="0"/>
          <w:marRight w:val="0"/>
          <w:marTop w:val="120"/>
          <w:marBottom w:val="120"/>
          <w:divBdr>
            <w:top w:val="none" w:sz="0" w:space="0" w:color="auto"/>
            <w:left w:val="none" w:sz="0" w:space="0" w:color="auto"/>
            <w:bottom w:val="none" w:sz="0" w:space="0" w:color="auto"/>
            <w:right w:val="none" w:sz="0" w:space="0" w:color="auto"/>
          </w:divBdr>
        </w:div>
        <w:div w:id="813255911">
          <w:marLeft w:val="0"/>
          <w:marRight w:val="0"/>
          <w:marTop w:val="0"/>
          <w:marBottom w:val="150"/>
          <w:divBdr>
            <w:top w:val="none" w:sz="0" w:space="0" w:color="auto"/>
            <w:left w:val="none" w:sz="0" w:space="0" w:color="auto"/>
            <w:bottom w:val="none" w:sz="0" w:space="0" w:color="auto"/>
            <w:right w:val="none" w:sz="0" w:space="0" w:color="auto"/>
          </w:divBdr>
        </w:div>
        <w:div w:id="1559587141">
          <w:marLeft w:val="0"/>
          <w:marRight w:val="0"/>
          <w:marTop w:val="0"/>
          <w:marBottom w:val="150"/>
          <w:divBdr>
            <w:top w:val="none" w:sz="0" w:space="0" w:color="auto"/>
            <w:left w:val="none" w:sz="0" w:space="0" w:color="auto"/>
            <w:bottom w:val="none" w:sz="0" w:space="0" w:color="auto"/>
            <w:right w:val="none" w:sz="0" w:space="0" w:color="auto"/>
          </w:divBdr>
        </w:div>
        <w:div w:id="875701074">
          <w:marLeft w:val="0"/>
          <w:marRight w:val="0"/>
          <w:marTop w:val="0"/>
          <w:marBottom w:val="150"/>
          <w:divBdr>
            <w:top w:val="none" w:sz="0" w:space="0" w:color="auto"/>
            <w:left w:val="none" w:sz="0" w:space="0" w:color="auto"/>
            <w:bottom w:val="none" w:sz="0" w:space="0" w:color="auto"/>
            <w:right w:val="none" w:sz="0" w:space="0" w:color="auto"/>
          </w:divBdr>
        </w:div>
        <w:div w:id="524558826">
          <w:marLeft w:val="0"/>
          <w:marRight w:val="0"/>
          <w:marTop w:val="0"/>
          <w:marBottom w:val="150"/>
          <w:divBdr>
            <w:top w:val="none" w:sz="0" w:space="0" w:color="auto"/>
            <w:left w:val="none" w:sz="0" w:space="0" w:color="auto"/>
            <w:bottom w:val="none" w:sz="0" w:space="0" w:color="auto"/>
            <w:right w:val="none" w:sz="0" w:space="0" w:color="auto"/>
          </w:divBdr>
        </w:div>
        <w:div w:id="240260370">
          <w:marLeft w:val="0"/>
          <w:marRight w:val="0"/>
          <w:marTop w:val="120"/>
          <w:marBottom w:val="120"/>
          <w:divBdr>
            <w:top w:val="none" w:sz="0" w:space="0" w:color="auto"/>
            <w:left w:val="none" w:sz="0" w:space="0" w:color="auto"/>
            <w:bottom w:val="none" w:sz="0" w:space="0" w:color="auto"/>
            <w:right w:val="none" w:sz="0" w:space="0" w:color="auto"/>
          </w:divBdr>
        </w:div>
        <w:div w:id="1772122106">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919</TotalTime>
  <Pages>3</Pages>
  <Words>825</Words>
  <Characters>4703</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Muzaffar Axmedov</dc:creator>
  <cp:keywords/>
  <dc:description/>
  <cp:lastModifiedBy>Rahimov Xudoyberdi</cp:lastModifiedBy>
  <cp:revision>25</cp:revision>
  <dcterms:created xsi:type="dcterms:W3CDTF">2023-04-26T10:05:00Z</dcterms:created>
  <dcterms:modified xsi:type="dcterms:W3CDTF">2025-03-28T05:51:00Z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Talabnoma rekvizitlari</w:name>
    <w:value w:hidden="true">
      <w:unit w:active="false"/>
    </w:value>
  </w:element>
  <w:element w:id="2" w:kind="variable" w:type="string" w:valueMode="normal" w:required="false" w:groupID="1">
    <w:identifier xml:space="preserve">ID2</w:identifier>
    <w:name xml:space="preserve">Talabnoma tuzilgan vaqt (kalendar) </w:name>
    <w:value w:hidden="false">
      <w:unit w:active="false"/>
    </w:value>
  </w:element>
  <w:element w:id="3" w:kind="variable" w:type="string" w:valueMode="normal" w:required="false" w:groupID="1">
    <w:identifier xml:space="preserve">ID3</w:identifier>
    <w:name xml:space="preserve">Talabnoma tuzilgan joy (roʻyxat)</w:name>
    <w:value w:hidden="false">
      <w:unit w:active="false"/>
    </w:value>
  </w:element>
  <w:element w:id="4" w:kind="variable" w:type="string" w:valueMode="normal" w:required="false" w:groupID="1">
    <w:identifier xml:space="preserve">ID4</w:identifier>
    <w:name xml:space="preserve">Talabnoma raqami</w:name>
    <w:value w:hidden="false">
      <w:unit w:active="false"/>
    </w:value>
  </w:element>
  <w:element w:id="5" w:kind="category" w:type="string" w:valueMode="normal" w:required="false" w:groupID="5">
    <w:identifier xml:space="preserve">ID5</w:identifier>
    <w:name xml:space="preserve">Talabnoma beruvchi</w:name>
    <w:value w:hidden="true">
      <w:unit w:active="false"/>
    </w:value>
  </w:element>
  <w:element w:id="6" w:kind="variable" w:type="string" w:valueMode="normal" w:required="false" w:groupID="5">
    <w:identifier xml:space="preserve">ID6</w:identifier>
    <w:name xml:space="preserve">Talabnoma beruvchi tashkilot nomi  va tashkiliy-huquqiy shakli (qoʻlda toʻldiriladi)</w:name>
    <w:value w:hidden="false">
      <w:unit w:active="false"/>
    </w:value>
  </w:element>
  <w:element w:id="7" w:kind="variable" w:type="string" w:valueMode="normal" w:required="false" w:groupID="5">
    <w:identifier xml:space="preserve">ID7</w:identifier>
    <w:name xml:space="preserve">Talabnoma beruvchi tashkilot rahbarining F.I.Sh. (qoʻlda toʻldiriladi)</w:name>
    <w:value w:hidden="false">
      <w:unit w:active="false"/>
    </w:value>
  </w:element>
  <w:element w:id="8" w:kind="category" w:type="string" w:valueMode="normal" w:required="false" w:groupID="8">
    <w:identifier xml:space="preserve">ID8</w:identifier>
    <w:name xml:space="preserve"> Talabnoma oluvchi</w:name>
    <w:value w:hidden="true">
      <w:unit w:active="false"/>
    </w:value>
  </w:element>
  <w:element w:id="9" w:kind="variable" w:type="string" w:valueMode="normal" w:required="false" w:groupID="8">
    <w:identifier xml:space="preserve">ID9</w:identifier>
    <w:name xml:space="preserve">Talabnoma oluvchi tashkilot nomi  va tashkiliy-huquqiy shakli (qoʻlda toʻldiriladi)</w:name>
    <w:value w:hidden="false">
      <w:unit w:active="false"/>
    </w:value>
  </w:element>
  <w:element w:id="10" w:kind="variable" w:type="string" w:valueMode="normal" w:required="false" w:groupID="8">
    <w:identifier xml:space="preserve">ID10</w:identifier>
    <w:name xml:space="preserve">Talabnoma oluvchi tashkilotning manzili (qoʻlda toʻldiriladi)</w:name>
    <w:value w:hidden="false">
      <w:unit w:active="false"/>
    </w:value>
  </w:element>
  <w:element w:id="11" w:kind="category" w:type="string" w:valueMode="normal" w:required="false" w:groupID="11">
    <w:identifier xml:space="preserve">ID11</w:identifier>
    <w:name xml:space="preserve">Talabnoma mazmuni</w:name>
    <w:value w:hidden="true">
      <w:unit w:active="false"/>
    </w:value>
  </w:element>
  <w:element w:id="12" w:kind="variable" w:type="string" w:valueMode="normal" w:required="false" w:groupID="11">
    <w:identifier xml:space="preserve">ID12</w:identifier>
    <w:name xml:space="preserve">Talabnoma berilishiga asos boʻlgan shartnoma tuzilgan sana (kalendar)</w:name>
    <w:value w:hidden="false">
      <w:unit w:active="false"/>
    </w:value>
  </w:element>
  <w:element w:id="13" w:kind="variable" w:type="string" w:valueMode="normal" w:required="false" w:groupID="11">
    <w:identifier xml:space="preserve">ID13</w:identifier>
    <w:name xml:space="preserve">Shartnoma raqami (qoʻlda toʻldiriladi)</w:name>
    <w:value w:hidden="false">
      <w:unit w:active="false"/>
    </w:value>
  </w:element>
  <w:element w:id="14" w:kind="variable" w:type="string" w:valueMode="normal" w:required="false" w:groupID="11">
    <w:identifier xml:space="preserve">ID14</w:identifier>
    <w:name xml:space="preserve">Shartnoma qiymati (qoʻlda toʻldiriladi)</w:name>
    <w:value w:hidden="false">
      <w:unit w:active="false"/>
    </w:value>
  </w:element>
  <w:element w:id="15" w:kind="variable" w:type="string" w:valueMode="normal" w:required="false" w:groupID="11">
    <w:identifier xml:space="preserve">ID15</w:identifier>
    <w:name xml:space="preserve">Shartnoma boʻyicha taʼmirlab berilgan ashyolar nomi</w:name>
    <w:value w:hidden="false">
      <w:unit w:active="false"/>
    </w:value>
  </w:element>
  <w:element w:id="16" w:kind="variable" w:type="string" w:valueMode="normal" w:required="false" w:groupID="11">
    <w:identifier xml:space="preserve">ID16</w:identifier>
    <w:name xml:space="preserve">Shartnoma boʻyicha taʼmirlab berilgan ashyolar soni</w:name>
    <w:value w:hidden="false">
      <w:unit w:active="false"/>
    </w:value>
  </w:element>
  <w:element w:id="17" w:kind="variable" w:type="string" w:valueMode="normal" w:required="false" w:groupID="11">
    <w:identifier xml:space="preserve">ID17</w:identifier>
    <w:name xml:space="preserve">Shartnomaning taʼmirlangan mahsulotlar uchun toʻlov oʻz vaqtida toʻlanishi lozimligi belgilangan bandi raqami</w:name>
    <w:value w:hidden="false">
      <w:unit w:active="false"/>
    </w:value>
  </w:element>
  <w:element w:id="18" w:kind="variable" w:type="string" w:valueMode="normal" w:required="false" w:groupID="11">
    <w:identifier xml:space="preserve">ID18</w:identifier>
    <w:name xml:space="preserve">Shartnomaga asosan taʼmirlangan mahsulotlar uchun toʻlov shartnoma tuzilganidan soʻng necha ish kunida toʻlanishi lozim?</w:name>
    <w:value w:hidden="false">
      <w:unit w:active="false"/>
    </w:value>
  </w:element>
  <w:element w:id="19" w:kind="variable" w:type="string" w:valueMode="normal" w:required="false" w:groupID="11">
    <w:identifier xml:space="preserve">ID19</w:identifier>
    <w:name xml:space="preserve">Shartnomaning taʼmirlangan mahsulotlar uchun toʻlov oʻz vaqtida toʻlashi lozimligi belgilangan bandi raqami</w:name>
    <w:value w:hidden="false">
      <w:unit w:active="false"/>
    </w:value>
  </w:element>
  <w:element w:id="20" w:kind="variable" w:type="string" w:valueMode="normal" w:required="false" w:groupID="11">
    <w:identifier xml:space="preserve">ID20</w:identifier>
    <w:name xml:space="preserve"> Qarzdor tomonidan toʻlanishi lozim boʻlgan qarz miqdori (qoʻlda toʻldiriladi)</w:name>
    <w:value w:hidden="false">
      <w:unit w:active="false"/>
    </w:value>
  </w:element>
  <w:element w:id="21" w:kind="variable" w:type="string" w:valueMode="normal" w:required="false" w:groupID="11">
    <w:identifier xml:space="preserve">ID21</w:identifier>
    <w:name xml:space="preserve">Qarzdor tomonidan toʻlanishi lozim boʻlgan jarima miqdori (qoʻlda toʻldiriladi)</w:name>
    <w:value w:hidden="false">
      <w:unit w:active="false"/>
    </w:value>
  </w:element>
  <w:element w:id="22" w:kind="variable" w:type="string" w:valueMode="normal" w:required="false" w:groupID="11">
    <w:identifier xml:space="preserve">ID22</w:identifier>
    <w:name xml:space="preserve">Qarzdor tomonidan toʻlanishi lozim boʻlgan penya miqdori (qoʻlda toʻldiriladi)</w:name>
    <w:value w:hidden="false">
      <w:unit w:active="false"/>
    </w:value>
  </w:element>
  <w:element w:id="23" w:kind="variable" w:type="string" w:valueMode="normal" w:required="false" w:groupID="11">
    <w:identifier xml:space="preserve">ID23</w:identifier>
    <w:name xml:space="preserve">Taʼmirlab, topshirish uchun tayyor holga keltirilgan, biroq olib ketilmagan ashyolar soni</w:name>
    <w:value w:hidden="false">
      <w:unit w:active="false"/>
    </w:value>
  </w:element>
</w:structure>
</file>