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936"/>
        <w:gridCol w:w="4419"/>
      </w:tblGrid>
      <w:tr>
        <w:tc>
          <w:tcPr>
            <w:tcW w:w="5070" w:type="dxa"/>
            <w:shd w:fill="auto"/>
          </w:tcPr>
          <w:p>
            <w:pPr>
              <w:spacing w:after="0"/>
              <w:rPr>
                <w:sz w:val="24"/>
                <w:rFonts w:ascii="Times New Roman" w:hAnsi="Times New Roman"/>
              </w:rPr>
            </w:pPr>
          </w:p>
        </w:tc>
        <w:tc>
          <w:tcPr>
            <w:tcW w:w="4501" w:type="dxa"/>
            <w:shd w:fill="auto"/>
          </w:tcPr>
          <w:p>
            <w:pPr>
              <w:jc w:val="both"/>
              <w:spacing w:after="0"/>
              <w:rPr>
                <w:b/>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Iltimosnoma berilgan fuqarolik sudi nomi</w:t>
            </w:r>
            <w:r>
              <w:rPr>
                <w:b/>
                <w:vanish w:val="false"/>
                <w:sz w:val="24"/>
                <w:rFonts w:ascii="Times New Roman" w:hAnsi="Times New Roman"/>
              </w:rPr>
              <w:fldChar w:fldCharType="end"/>
            </w:r>
            <w:r>
              <w:rPr>
                <w:b/>
                <w:sz w:val="24"/>
                <w:rFonts w:ascii="Times New Roman" w:hAnsi="Times New Roman"/>
              </w:rPr>
              <w:t>ga</w:t>
            </w:r>
          </w:p>
          <w:p>
            <w:pPr>
              <w:jc w:val="both"/>
              <w:spacing w:after="0"/>
              <w:rPr>
                <w:b/>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Iltimosnoma beruvchi shaxsning yashash manzili</w:t>
            </w:r>
            <w:r>
              <w:rPr>
                <w:vanish w:val="false"/>
                <w:sz w:val="24"/>
                <w:rFonts w:ascii="Times New Roman" w:hAnsi="Times New Roman"/>
              </w:rPr>
              <w:fldChar w:fldCharType="end"/>
            </w:r>
            <w:r>
              <w:rPr>
                <w:sz w:val="24"/>
              </w:rPr>
              <w:t xml:space="preserve">da yashovchi</w:t>
            </w:r>
          </w:p>
          <w:p>
            <w:r>
              <w:rPr>
                <w:vanish w:val="false"/>
                <w:sz w:val="24"/>
                <w:rFonts w:ascii="Times New Roman" w:hAnsi="Times New Roman"/>
              </w:rPr>
              <w:fldChar w:fldCharType="begin"/>
              <w:instrText xml:space="preserve">X {"Y":6}</w:instrText>
              <w:fldChar w:fldCharType="separate"/>
              <w:t xml:space="preserve">Iltimosnoma beruvchi shaxsning F.I.Osi</w:t>
            </w:r>
            <w:r>
              <w:rPr>
                <w:vanish w:val="false"/>
                <w:sz w:val="24"/>
                <w:rFonts w:ascii="Times New Roman" w:hAnsi="Times New Roman"/>
              </w:rPr>
              <w:fldChar w:fldCharType="end"/>
            </w:r>
            <w:r>
              <w:rPr>
                <w:sz w:val="24"/>
              </w:rPr>
              <w:t>dan</w:t>
            </w:r>
          </w:p>
        </w:tc>
      </w:tr>
      <w:tr>
        <w:trPr>
          <w:gridAfter w:val="1"/>
        </w:trPr>
        <w:tc>
          <w:tcPr>
            <w:tcW w:w="4501" w:type="dxa"/>
            <w:shd w:fill="auto"/>
          </w:tcPr>
          <w:p>
            <w:pPr>
              <w:spacing w:after="0"/>
              <w:rPr>
                <w:sz w:val="24"/>
                <w:rFonts w:ascii="Times New Roman" w:hAnsi="Times New Roman"/>
              </w:rPr>
            </w:pPr>
          </w:p>
        </w:tc>
      </w:tr>
      <w:tr>
        <w:trPr>
          <w:gridAfter w:val="1"/>
        </w:trPr>
        <w:tc>
          <w:tcPr>
            <w:tcW w:w="4501" w:type="dxa"/>
            <w:shd w:fill="auto"/>
          </w:tcPr>
          <w:p>
            <w:pPr>
              <w:jc w:val="both"/>
              <w:spacing w:after="0"/>
              <w:rPr>
                <w:sz w:val="24"/>
                <w:rFonts w:ascii="Times New Roman" w:hAnsi="Times New Roman"/>
              </w:rPr>
            </w:pPr>
          </w:p>
        </w:tc>
      </w:tr>
      <w:tr>
        <w:tc>
          <w:tcPr>
            <w:tcW w:w="5070" w:type="dxa"/>
            <w:shd w:fill="auto"/>
          </w:tcPr>
          <w:p>
            <w:pPr>
              <w:spacing w:after="0"/>
              <w:rPr>
                <w:sz w:val="24"/>
                <w:rFonts w:ascii="Times New Roman" w:hAnsi="Times New Roman"/>
              </w:rPr>
            </w:pPr>
          </w:p>
        </w:tc>
        <w:tc>
          <w:tcPr>
            <w:tcW w:w="4501" w:type="dxa"/>
            <w:shd w:fill="auto"/>
          </w:tcPr>
          <w:p>
            <w:pPr>
              <w:spacing w:after="0"/>
              <w:rPr>
                <w:sz w:val="24"/>
                <w:rFonts w:ascii="Times New Roman" w:hAnsi="Times New Roman"/>
              </w:rPr>
            </w:pPr>
          </w:p>
        </w:tc>
      </w:tr>
    </w:tbl>
    <w:p>
      <w:pPr>
        <w:jc w:val="center"/>
        <w:rPr>
          <w:sz w:val="24"/>
          <w:rFonts w:ascii="Times New Roman" w:hAnsi="Times New Roman"/>
        </w:rPr>
      </w:pPr>
      <w:r>
        <w:rPr>
          <w:b/>
          <w:sz w:val="24"/>
          <w:rFonts w:ascii="Times New Roman" w:hAnsi="Times New Roman"/>
        </w:rPr>
        <w:t>ILTIMOSNOMA</w:t>
      </w:r>
    </w:p>
    <w:p>
      <w:pPr>
        <w:jc w:val="center"/>
        <w:rPr>
          <w:sz w:val="24"/>
          <w:rFonts w:ascii="Times New Roman" w:hAnsi="Times New Roman"/>
        </w:rPr>
      </w:pPr>
      <w:r>
        <w:rPr>
          <w:sz w:val="24"/>
          <w:rFonts w:ascii="Times New Roman" w:hAnsi="Times New Roman"/>
        </w:rPr>
        <w:t xml:space="preserve">Tarafni uning huquqiy vorisi bilan almashtirish toʻgʻrisida</w:t>
      </w:r>
    </w:p>
    <w:p>
      <w:pPr>
        <w:pStyle w:val="a0"/>
        <w:jc w:val="both"/>
        <w:ind w:firstLine="684"/>
        <w:spacing w:before="40" w:after="0" w:line="240" w:lineRule="auto"/>
        <w:rPr>
          <w:sz w:val="24"/>
          <w:rFonts w:ascii="Times New Roman" w:hAnsi="Times New Roman"/>
        </w:rPr>
      </w:pPr>
      <w:r>
        <w:rPr>
          <w:sz w:val="24"/>
          <w:rFonts w:ascii="Times New Roman" w:hAnsi="Times New Roman"/>
        </w:rPr>
        <w:t xml:space="preserve">Fuqarolik ishlari boʻyicha  </w:t>
      </w:r>
      <w:r>
        <w:rPr>
          <w:vanish w:val="false"/>
          <w:sz w:val="24"/>
          <w:rFonts w:ascii="Times New Roman" w:hAnsi="Times New Roman"/>
        </w:rPr>
        <w:fldChar w:fldCharType="begin"/>
        <w:instrText xml:space="preserve">X {"Y":2}</w:instrText>
        <w:fldChar w:fldCharType="separate"/>
        <w:t xml:space="preserve">Iltimosnoma berilgan fuqarolik sudi nomi</w:t>
      </w:r>
      <w:r>
        <w:rPr>
          <w:vanish w:val="false"/>
          <w:sz w:val="24"/>
          <w:rFonts w:ascii="Times New Roman" w:hAnsi="Times New Roman"/>
        </w:rPr>
        <w:fldChar w:fldCharType="end"/>
      </w:r>
      <w:r>
        <w:rPr>
          <w:sz w:val="24"/>
          <w:rFonts w:ascii="Times New Roman" w:hAnsi="Times New Roman"/>
        </w:rPr>
        <w:t xml:space="preserve"> sudining ish yurituvida daʼvogar </w:t>
      </w:r>
      <w:r>
        <w:rPr>
          <w:vanish w:val="false"/>
          <w:sz w:val="24"/>
          <w:rFonts w:ascii="Times New Roman" w:hAnsi="Times New Roman"/>
        </w:rPr>
        <w:fldChar w:fldCharType="begin"/>
        <w:instrText xml:space="preserve">X {"Y":8}</w:instrText>
        <w:fldChar w:fldCharType="separate"/>
        <w:t xml:space="preserve">Ish bo‘yicha daʼvogarning F.I.Osi</w:t>
      </w:r>
      <w:r>
        <w:rPr>
          <w:vanish w:val="false"/>
          <w:sz w:val="24"/>
          <w:rFonts w:ascii="Times New Roman" w:hAnsi="Times New Roman"/>
        </w:rPr>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{"Y":9}</w:instrText>
        <w:fldChar w:fldCharType="separate"/>
        <w:t xml:space="preserve">Ish bo‘yicha javobgarning F.I.Osi</w:t>
      </w:r>
      <w:r>
        <w:rPr>
          <w:vanish w:val="false"/>
          <w:sz w:val="24"/>
          <w:rFonts w:ascii="Times New Roman" w:hAnsi="Times New Roman"/>
        </w:rPr>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{"Y":10}</w:instrText>
        <w:fldChar w:fldCharType="separate"/>
        <w:t xml:space="preserve">Daʼvo ariza mazmuni</w:t>
      </w:r>
      <w:r>
        <w:rPr>
          <w:vanish w:val="false"/>
          <w:sz w:val="24"/>
          <w:rFonts w:ascii="Times New Roman" w:hAnsi="Times New Roman"/>
        </w:rPr>
        <w:fldChar w:fldCharType="end"/>
      </w:r>
      <w:r>
        <w:rPr>
          <w:sz w:val="24"/>
          <w:rFonts w:ascii="Times New Roman" w:hAnsi="Times New Roman"/>
        </w:rPr>
        <w:t xml:space="preserve"> toʻgʻrisidagi daʼvo arizasi yuzasidan qoʻzgʻatilgan ish mavjud.</w:t>
      </w:r>
    </w:p>
    <w:p>
      <w:pPr>
        <w:jc w:val="both"/>
        <w:ind w:firstLine="709"/>
        <w:spacing w:after="0"/>
        <w:rPr>
          <w:sz w:val="24"/>
          <w:rFonts w:ascii="Times New Roman" w:hAnsi="Times New Roman"/>
        </w:rPr>
      </w:pPr>
      <w:r>
        <w:rPr>
          <w:sz w:val="24"/>
          <w:rFonts w:ascii="Times New Roman" w:hAnsi="Times New Roman"/>
        </w:rPr>
        <w:t xml:space="preserve">Ish boʻyicha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Huquqiy voris bilan almashtirilishi lozim bo‘lgan taraf</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t xml:space="preserve">Huquqiy voris bilan almashtiriladigan tarafning almashtirilishi sababi</w:t>
      </w:r>
      <w:r>
        <w:rPr>
          <w:vanish w:val="false"/>
          <w:sz w:val="24"/>
          <w:rFonts w:ascii="Times New Roman" w:hAnsi="Times New Roman"/>
        </w:rPr>
        <w:fldChar w:fldCharType="end"/>
      </w:r>
      <w:r>
        <w:rPr>
          <w:sz w:val="24"/>
          <w:rFonts w:ascii="Times New Roman" w:hAnsi="Times New Roman"/>
        </w:rPr>
        <w:t xml:space="preserve">  sababli huquqiy vorisi bilan almashtirish lozim boʻladi. </w:t>
      </w:r>
    </w:p>
    <w:p>
      <w:pPr>
        <w:jc w:val="both"/>
        <w:ind w:firstLine="709"/>
        <w:spacing w:after="0"/>
        <w:rPr>
          <w:sz w:val="24"/>
          <w:rFonts w:ascii="Times New Roman" w:hAnsi="Times New Roman"/>
        </w:rPr>
      </w:pPr>
      <w:r>
        <w:rPr>
          <w:sz w:val="24"/>
          <w:rFonts w:ascii="Times New Roman" w:hAnsi="Times New Roman"/>
        </w:rPr>
        <w:t xml:space="preserve">Oʻzbekiston Respublikasi Fuqarolik protsessual kodeksining 47-moddasida nizoli yoki sudning hal qiluv qarori bilan aniqlangan huquqiy munosabatda taraflarning biri, uchinchi shaxs yoki ularning qonuniy vakili chiqib ketgan taqdirda sud bu shaxslarni ularning huquqiy vorislari bilan almashtirishga yoʻl qoʻyishi, huquqiy vorislik fuqarolik sud ishlarini yuritishning har qanday bosqichida amalga oshirilishi mumkinligi, huquqiy vorisning sud protsessiga kirishganligi haqida ajrim chiqarilishi belgilandi. </w:t>
      </w:r>
    </w:p>
    <w:p>
      <w:pPr>
        <w:jc w:val="both"/>
        <w:ind w:firstLine="709"/>
        <w:spacing w:after="0"/>
        <w:rPr>
          <w:sz w:val="24"/>
          <w:rFonts w:ascii="Times New Roman" w:hAnsi="Times New Roman"/>
        </w:rPr>
      </w:pPr>
      <w:r>
        <w:rPr>
          <w:sz w:val="24"/>
          <w:rFonts w:ascii="Times New Roman" w:hAnsi="Times New Roman"/>
        </w:rPr>
        <w:t xml:space="preserve">Yuqoridagilardan kelib chiqib, Oʻzbekiston Respublikasi Fuqarolik protsessual kodeksining 43, 44, 47-moddalariga asoslanib,</w:t>
      </w:r>
    </w:p>
    <w:p>
      <w:pPr>
        <w:jc w:val="both"/>
        <w:ind w:firstLine="709"/>
        <w:spacing w:after="0"/>
        <w:rPr>
          <w:sz w:val="24"/>
          <w:rFonts w:ascii="Times New Roman" w:hAnsi="Times New Roman"/>
        </w:rPr>
      </w:pPr>
    </w:p>
    <w:p>
      <w:pPr>
        <w:pStyle w:val="a0"/>
        <w:jc w:val="center"/>
        <w:ind w:firstLine="900"/>
        <w:spacing w:before="40" w:after="0" w:line="240" w:lineRule="auto"/>
        <w:rPr>
          <w:b/>
          <w:sz w:val="24"/>
          <w:rFonts w:ascii="Times New Roman" w:hAnsi="Times New Roman"/>
        </w:rPr>
      </w:pPr>
      <w:r>
        <w:rPr>
          <w:b/>
          <w:sz w:val="24"/>
          <w:rFonts w:ascii="Times New Roman" w:hAnsi="Times New Roman"/>
        </w:rPr>
        <w:t>SOʻRAYMAN:</w:t>
      </w:r>
    </w:p>
    <w:p>
      <w:pPr>
        <w:pStyle w:val="a0"/>
        <w:jc w:val="center"/>
        <w:ind w:firstLine="900"/>
        <w:spacing w:before="40" w:after="0" w:line="240" w:lineRule="auto"/>
        <w:rPr>
          <w:b/>
          <w:sz w:val="24"/>
          <w:rFonts w:ascii="Times New Roman" w:hAnsi="Times New Roman"/>
        </w:rPr>
      </w:pPr>
    </w:p>
    <w:p>
      <w:pPr>
        <w:jc w:val="both"/>
        <w:ind w:firstLine="708"/>
        <w:spacing w:after="0"/>
        <w:rPr>
          <w:sz w:val="24"/>
          <w:rFonts w:ascii="Times New Roman" w:hAnsi="Times New Roman"/>
        </w:rPr>
      </w:pPr>
      <w:r>
        <w:rPr>
          <w:sz w:val="24"/>
          <w:rFonts w:ascii="Times New Roman" w:hAnsi="Times New Roman"/>
        </w:rPr>
        <w:t xml:space="preserve">Mazkur fuqarolik ishi boʻyicha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Huquqiy voris bilan almashtirilishi lozim bo‘lgan taraf</w:t>
        <w:fldChar w:fldCharType="end"/>
      </w:r>
      <w:r>
        <w:rPr>
          <w:sz w:val="24"/>
          <w:rFonts w:ascii="Times New Roman" w:hAnsi="Times New Roman"/>
        </w:rPr>
        <w:t xml:space="preserve">ni huquqiy vorisi </w:t>
      </w:r>
      <w:r>
        <w:rPr>
          <w:vanish w:val="false"/>
          <w:sz w:val="24"/>
          <w:rFonts w:ascii="Times New Roman" w:hAnsi="Times New Roman"/>
        </w:rPr>
        <w:fldChar w:fldCharType="begin"/>
        <w:instrText xml:space="preserve">X {"Y":13}</w:instrText>
        <w:fldChar w:fldCharType="separate"/>
        <w:t xml:space="preserve">Ishga huquqiy voris sifatida jalb qilinishi lozim bo‘lgan shaxsning F.I.Sh</w:t>
      </w:r>
      <w:r>
        <w:rPr>
          <w:vanish w:val="false"/>
          <w:sz w:val="24"/>
          <w:rFonts w:ascii="Times New Roman" w:hAnsi="Times New Roman"/>
        </w:rPr>
        <w:fldChar w:fldCharType="end"/>
      </w:r>
      <w:r>
        <w:rPr>
          <w:sz w:val="24"/>
          <w:rFonts w:ascii="Times New Roman" w:hAnsi="Times New Roman"/>
        </w:rPr>
        <w:t xml:space="preserve"> bilan almashtirib, uni ish koʻrilishida jalb qilishingizni. </w:t>
      </w:r>
    </w:p>
    <w:p>
      <w:pPr>
        <w:pStyle w:val="a0"/>
        <w:jc w:val="both"/>
        <w:ind w:firstLine="900"/>
        <w:spacing w:before="40" w:after="0" w:line="240" w:lineRule="auto"/>
        <w:rPr>
          <w:b/>
          <w:sz w:val="24"/>
          <w:rFonts w:ascii="Times New Roman" w:hAnsi="Times New Roman"/>
        </w:rPr>
      </w:pPr>
    </w:p>
    <w:p>
      <w:pPr>
        <w:pStyle w:val="a0"/>
        <w:jc w:val="both"/>
        <w:ind w:firstLine="684"/>
        <w:spacing w:before="40" w:after="0" w:line="240" w:lineRule="auto"/>
        <w:rPr>
          <w:b/>
          <w:sz w:val="24"/>
          <w:rFonts w:ascii="Times New Roman" w:hAnsi="Times New Roman"/>
        </w:rPr>
      </w:pPr>
      <w:r>
        <w:rPr>
          <w:sz w:val="24"/>
          <w:rFonts w:ascii="Times New Roman" w:hAnsi="Times New Roman"/>
        </w:rPr>
        <w:t xml:space="preserve">Iltimosnomaga ilova qilinayotgan hujjatlar:</w:t>
      </w:r>
    </w:p>
    <w:p>
      <w:pPr>
        <w:pStyle w:val="a0"/>
        <w:numPr>
          <w:numId w:val="5"/>
          <w:ilvl w:val="0"/>
        </w:numPr>
        <w:jc w:val="both"/>
        <w:spacing w:before="40" w:after="0" w:line="240" w:lineRule="auto"/>
        <w:rPr>
          <w:sz w:val="24"/>
          <w:rFonts w:ascii="Times New Roman" w:hAnsi="Times New Roman"/>
        </w:rPr>
      </w:pPr>
      <w:r>
        <w:rPr>
          <w:sz w:val="24"/>
          <w:rFonts w:ascii="Times New Roman" w:hAnsi="Times New Roman"/>
        </w:rPr>
        <w:t xml:space="preserve">Iltimosnoma nusxasi.  </w:t>
      </w:r>
    </w:p>
    <w:p>
      <w:pPr>
        <w:pStyle w:val="a0"/>
        <w:numPr>
          <w:numId w:val="5"/>
          <w:ilvl w:val="0"/>
        </w:numPr>
        <w:jc w:val="both"/>
        <w:spacing w:before="40" w:after="0" w:line="240" w:lineRule="auto"/>
        <w:rPr>
          <w:sz w:val="24"/>
          <w:rFonts w:ascii="Times New Roman" w:hAnsi="Times New Roman"/>
        </w:rPr>
      </w:pPr>
      <w:r>
        <w:rPr>
          <w:sz w:val="24"/>
          <w:rFonts w:ascii="Times New Roman" w:hAnsi="Times New Roman"/>
        </w:rPr>
        <w:t xml:space="preserve">Iltimosnomani tasdiqlovchi hujjatlar nusxasi. </w:t>
      </w:r>
    </w:p>
    <w:p>
      <w:pPr>
        <w:pStyle w:val="a0"/>
        <w:jc w:val="both"/>
        <w:spacing w:before="40" w:after="0" w:line="240" w:lineRule="auto"/>
        <w:rPr>
          <w:sz w:val="24"/>
          <w:rFonts w:ascii="Times New Roman" w:hAnsi="Times New Roman"/>
        </w:rPr>
      </w:pPr>
    </w:p>
    <w:p>
      <w:pPr>
        <w:pStyle w:val="a0"/>
        <w:jc w:val="both"/>
        <w:spacing w:before="40" w:after="0" w:line="240" w:lineRule="auto"/>
        <w:rPr>
          <w:sz w:val="24"/>
          <w:rFonts w:ascii="Times New Roman" w:hAnsi="Times New Roman"/>
        </w:rPr>
      </w:pPr>
    </w:p>
    <w:tbl>
      <w:tblPr>
        <w:tblW w:w="0" w:type="auto"/>
      </w:tblPr>
      <w:tblGrid>
        <w:gridCol w:w="3132"/>
        <w:gridCol w:w="3091"/>
        <w:gridCol w:w="3132"/>
      </w:tblGrid>
      <w:tr>
        <w:tc>
          <w:tcPr>
            <w:tcW w:w="3190" w:type="dxa"/>
            <w:shd w:fill="auto"/>
          </w:tcPr>
          <w:p>
            <w:pPr>
              <w:pStyle w:val="a0"/>
              <w:jc w:val="center"/>
              <w:spacing w:before="40" w:after="0"/>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Iltimosnoma beruvchi shaxsning F.I.Osi</w:t>
            </w:r>
            <w:r>
              <w:rPr>
                <w:vanish w:val="false"/>
                <w:sz w:val="24"/>
                <w:rFonts w:ascii="Times New Roman" w:hAnsi="Times New Roman"/>
              </w:rPr>
              <w:fldChar w:fldCharType="end"/>
            </w:r>
            <w:r>
              <w:rPr>
                <w:sz w:val="24"/>
                <w:rFonts w:ascii="Times New Roman" w:hAnsi="Times New Roman"/>
              </w:rPr>
              <w:t xml:space="preserve">                  </w:t>
            </w:r>
            <w:r>
              <w:t xml:space="preserve">                                                               </w:t>
            </w:r>
          </w:p>
        </w:tc>
        <w:tc>
          <w:tcPr>
            <w:tcW w:w="3190" w:type="dxa"/>
            <w:shd w:fill="auto"/>
          </w:tcPr>
          <w:p>
            <w:pPr>
              <w:pStyle w:val="a0"/>
              <w:spacing w:before="40" w:after="0"/>
              <w:pBdr>
                <w:bottom w:sz="12" w:space="1" w:color="auto" w:val="single"/>
              </w:pBdr>
              <w:rPr>
                <w:sz w:val="24"/>
                <w:rFonts w:ascii="Times New Roman" w:hAnsi="Times New Roman"/>
              </w:rPr>
            </w:pPr>
            <w:r>
              <w:t xml:space="preserve">                      </w:t>
            </w:r>
          </w:p>
        </w:tc>
        <w:tc>
          <w:tcPr>
            <w:tcW w:w="3191" w:type="dxa"/>
            <w:shd w:fill="auto"/>
          </w:tcPr>
          <w:p>
            <w:pPr>
              <w:pStyle w:val="a0"/>
              <w:jc w:val="center"/>
              <w:spacing w:before="40"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Iltimosnoma berilgan sana</w:t>
            </w:r>
            <w:r>
              <w:rPr>
                <w:vanish w:val="false"/>
              </w:rPr>
              <w:fldChar w:fldCharType="end"/>
            </w:r>
          </w:p>
        </w:tc>
      </w:tr>
    </w:tbl>
    <w:p>
      <w:pPr>
        <w:pStyle w:val="a0"/>
        <w:jc w:val="center"/>
        <w:spacing w:before="40" w:after="0" w:line="240" w:lineRule="auto"/>
        <w:rPr>
          <w:sz w:val="24"/>
          <w:rFonts w:ascii="Times New Roman" w:hAnsi="Times New Roman"/>
        </w:rPr>
      </w:pPr>
      <w:r>
        <w:t>imzo</w:t>
      </w:r>
    </w:p>
    <w:p>
      <w:pPr>
        <w:spacing w:after="0"/>
        <w:rPr>
          <w:sz w:val="24"/>
          <w:rFonts w:ascii="Times New Roman" w:hAnsi="Times New Roman"/>
        </w:rPr>
      </w:pPr>
    </w:p>
    <w:p>
      <w:pPr>
        <w:spacing w:after="0"/>
        <w:rPr>
          <w:sz w:val="24"/>
          <w:rFonts w:ascii="Times New Roman" w:hAnsi="Times New Roman"/>
        </w:rPr>
      </w:pPr>
    </w:p>
    <w:p>
      <w:pPr>
        <w:spacing w:after="0"/>
        <w:rPr>
          <w:sz w:val="24"/>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16A" w:rsidRDefault="0083316A">
      <w:pPr>
        <w:spacing w:after="0" w:line="240" w:lineRule="auto"/>
      </w:pPr>
      <w:r>
        <w:separator/>
      </w:r>
    </w:p>
  </w:endnote>
  <w:endnote w:type="continuationSeparator" w:id="0">
    <w:p w:rsidR="0083316A" w:rsidRDefault="00833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16A" w:rsidRDefault="0083316A">
      <w:pPr>
        <w:spacing w:after="0" w:line="240" w:lineRule="auto"/>
      </w:pPr>
      <w:r>
        <w:separator/>
      </w:r>
    </w:p>
  </w:footnote>
  <w:footnote w:type="continuationSeparator" w:id="0">
    <w:p w:rsidR="0083316A" w:rsidRDefault="008331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01E59"/>
    <w:rsid w:val="00023C1F"/>
    <w:rsid w:val="00042B71"/>
    <w:rsid w:val="0005513E"/>
    <w:rsid w:val="00097AA3"/>
    <w:rsid w:val="000A21D6"/>
    <w:rsid w:val="000D3150"/>
    <w:rsid w:val="00110EE3"/>
    <w:rsid w:val="0012785F"/>
    <w:rsid w:val="00134C0F"/>
    <w:rsid w:val="00141874"/>
    <w:rsid w:val="00182DFC"/>
    <w:rsid w:val="00192B5A"/>
    <w:rsid w:val="002355AC"/>
    <w:rsid w:val="002479CF"/>
    <w:rsid w:val="002509AB"/>
    <w:rsid w:val="00271F89"/>
    <w:rsid w:val="00277E74"/>
    <w:rsid w:val="002820A2"/>
    <w:rsid w:val="0029035A"/>
    <w:rsid w:val="002D3093"/>
    <w:rsid w:val="002D4F32"/>
    <w:rsid w:val="002D6B90"/>
    <w:rsid w:val="002D751D"/>
    <w:rsid w:val="00340C52"/>
    <w:rsid w:val="003A69A8"/>
    <w:rsid w:val="003C176D"/>
    <w:rsid w:val="003E2C3D"/>
    <w:rsid w:val="00417275"/>
    <w:rsid w:val="00455C97"/>
    <w:rsid w:val="004677E5"/>
    <w:rsid w:val="0048301E"/>
    <w:rsid w:val="004E592E"/>
    <w:rsid w:val="004F54B1"/>
    <w:rsid w:val="005223D5"/>
    <w:rsid w:val="00523079"/>
    <w:rsid w:val="00573D5F"/>
    <w:rsid w:val="005A1748"/>
    <w:rsid w:val="005A7865"/>
    <w:rsid w:val="005B5529"/>
    <w:rsid w:val="005C559C"/>
    <w:rsid w:val="005F1B44"/>
    <w:rsid w:val="00620A5C"/>
    <w:rsid w:val="00627ABD"/>
    <w:rsid w:val="0063313C"/>
    <w:rsid w:val="0063696E"/>
    <w:rsid w:val="006576BC"/>
    <w:rsid w:val="00680D9A"/>
    <w:rsid w:val="006A4F4F"/>
    <w:rsid w:val="006A5F26"/>
    <w:rsid w:val="0071098A"/>
    <w:rsid w:val="00715654"/>
    <w:rsid w:val="00740520"/>
    <w:rsid w:val="0079407B"/>
    <w:rsid w:val="007B2732"/>
    <w:rsid w:val="007E3278"/>
    <w:rsid w:val="007E3F6A"/>
    <w:rsid w:val="007E7AEB"/>
    <w:rsid w:val="0083316A"/>
    <w:rsid w:val="00835E9A"/>
    <w:rsid w:val="0087799D"/>
    <w:rsid w:val="009B0CFD"/>
    <w:rsid w:val="009C0CD8"/>
    <w:rsid w:val="009C1BBE"/>
    <w:rsid w:val="00A0137A"/>
    <w:rsid w:val="00A322FA"/>
    <w:rsid w:val="00AC2B4F"/>
    <w:rsid w:val="00AC3007"/>
    <w:rsid w:val="00AC3795"/>
    <w:rsid w:val="00B01ED2"/>
    <w:rsid w:val="00B075A8"/>
    <w:rsid w:val="00B10D4D"/>
    <w:rsid w:val="00B11900"/>
    <w:rsid w:val="00B532D2"/>
    <w:rsid w:val="00BD5959"/>
    <w:rsid w:val="00C616C5"/>
    <w:rsid w:val="00C76F7E"/>
    <w:rsid w:val="00C91039"/>
    <w:rsid w:val="00CB0BA6"/>
    <w:rsid w:val="00CB5634"/>
    <w:rsid w:val="00CB7A7D"/>
    <w:rsid w:val="00CC1796"/>
    <w:rsid w:val="00CC4FAE"/>
    <w:rsid w:val="00CE2099"/>
    <w:rsid w:val="00D05289"/>
    <w:rsid w:val="00D0702B"/>
    <w:rsid w:val="00D1129B"/>
    <w:rsid w:val="00D25F49"/>
    <w:rsid w:val="00D42C38"/>
    <w:rsid w:val="00E00A4E"/>
    <w:rsid w:val="00E11AC6"/>
    <w:rsid w:val="00E12CEF"/>
    <w:rsid w:val="00E22056"/>
    <w:rsid w:val="00E43D1F"/>
    <w:rsid w:val="00E71CE4"/>
    <w:rsid w:val="00E82E08"/>
    <w:rsid w:val="00E854AC"/>
    <w:rsid w:val="00EA52A9"/>
    <w:rsid w:val="00EA5BFB"/>
    <w:rsid w:val="00EB3666"/>
    <w:rsid w:val="00EF1B5D"/>
    <w:rsid w:val="00F11463"/>
    <w:rsid w:val="00F50769"/>
    <w:rsid w:val="00F572D3"/>
    <w:rsid w:val="00F67D3B"/>
    <w:rsid w:val="00F95475"/>
    <w:rsid w:val="00FA320B"/>
    <w:rsid w:val="00FB3410"/>
    <w:rsid w:val="00FC2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85B41EF-437E-4816-BE28-0912B4F6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character" w:customStyle="1" w:styleId="clauseprfx1">
    <w:name w:val="clauseprfx1"/>
    <w:rsid w:val="007E7AEB"/>
    <w:rPr>
      <w:vanish w:val="0"/>
      <w:webHidden w:val="0"/>
      <w:specVanish w:val="0"/>
    </w:rPr>
  </w:style>
  <w:style w:type="character" w:customStyle="1" w:styleId="clausesuff1">
    <w:name w:val="clausesuff1"/>
    <w:rsid w:val="007E7AEB"/>
    <w:rPr>
      <w:vanish w:val="0"/>
      <w:webHidden w:val="0"/>
      <w:specVanish w:val="0"/>
    </w:rPr>
  </w:style>
  <w:style w:type="paragraph" w:styleId="af">
    <w:name w:val="List Paragraph"/>
    <w:basedOn w:val="a"/>
    <w:uiPriority w:val="34"/>
    <w:qFormat/>
    <w:rsid w:val="00AC3795"/>
    <w:pPr>
      <w:suppressAutoHyphens w:val="0"/>
      <w:ind w:left="720"/>
      <w:contextualSpacing/>
    </w:pPr>
    <w:rPr>
      <w:rFonts w:eastAsia="Times New Roman"/>
      <w:lang w:eastAsia="ru-RU"/>
    </w:rPr>
  </w:style>
  <w:style w:type="table" w:styleId="af0">
    <w:name w:val="Table Grid"/>
    <w:basedOn w:val="a2"/>
    <w:uiPriority w:val="59"/>
    <w:rsid w:val="00AC379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376726">
      <w:bodyDiv w:val="1"/>
      <w:marLeft w:val="0"/>
      <w:marRight w:val="0"/>
      <w:marTop w:val="0"/>
      <w:marBottom w:val="0"/>
      <w:divBdr>
        <w:top w:val="none" w:sz="0" w:space="0" w:color="auto"/>
        <w:left w:val="none" w:sz="0" w:space="0" w:color="auto"/>
        <w:bottom w:val="none" w:sz="0" w:space="0" w:color="auto"/>
        <w:right w:val="none" w:sz="0" w:space="0" w:color="auto"/>
      </w:divBdr>
      <w:divsChild>
        <w:div w:id="1460419332">
          <w:marLeft w:val="0"/>
          <w:marRight w:val="0"/>
          <w:marTop w:val="0"/>
          <w:marBottom w:val="0"/>
          <w:divBdr>
            <w:top w:val="none" w:sz="0" w:space="0" w:color="auto"/>
            <w:left w:val="none" w:sz="0" w:space="0" w:color="auto"/>
            <w:bottom w:val="none" w:sz="0" w:space="0" w:color="auto"/>
            <w:right w:val="none" w:sz="0" w:space="0" w:color="auto"/>
          </w:divBdr>
          <w:divsChild>
            <w:div w:id="2007394494">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1814131035">
      <w:bodyDiv w:val="1"/>
      <w:marLeft w:val="0"/>
      <w:marRight w:val="0"/>
      <w:marTop w:val="0"/>
      <w:marBottom w:val="0"/>
      <w:divBdr>
        <w:top w:val="none" w:sz="0" w:space="0" w:color="auto"/>
        <w:left w:val="none" w:sz="0" w:space="0" w:color="auto"/>
        <w:bottom w:val="none" w:sz="0" w:space="0" w:color="auto"/>
        <w:right w:val="none" w:sz="0" w:space="0" w:color="auto"/>
      </w:divBdr>
      <w:divsChild>
        <w:div w:id="1862619047">
          <w:marLeft w:val="0"/>
          <w:marRight w:val="0"/>
          <w:marTop w:val="0"/>
          <w:marBottom w:val="0"/>
          <w:divBdr>
            <w:top w:val="none" w:sz="0" w:space="0" w:color="auto"/>
            <w:left w:val="none" w:sz="0" w:space="0" w:color="auto"/>
            <w:bottom w:val="none" w:sz="0" w:space="0" w:color="auto"/>
            <w:right w:val="none" w:sz="0" w:space="0" w:color="auto"/>
          </w:divBdr>
          <w:divsChild>
            <w:div w:id="162661778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2022-08-29T06:38:00Z</dcterms:created>
  <dcterms:modified xsi:type="dcterms:W3CDTF">2022-08-29T06:38:00Z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Iltimosnoma berilgan sana</w:name>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shaxsning yashash manzili</w:name>
    <w:value w:hidden="false">
      <w:unit w:active="false"/>
    </w:value>
  </w:element>
  <w:element w:id="6" w:kind="variable" w:selector="check" w:type="string" w:valueMode="normal" w:required="false" w:groupID="4">
    <w:identifier xml:space="preserve">ID6</w:identifier>
    <w:name xml:space="preserve">Iltimosnoma beruvchi shaxsning F.I.Osi</w:name>
    <w:value w:hidden="false">
      <w:unit w:active="false"/>
    </w:value>
  </w:element>
  <w:element w:id="7" w:kind="category" w:selector="check" w:type="string" w:valueMode="normal" w:required="false">
    <w:identifier xml:space="preserve">ID7</w:identifier>
    <w:name xml:space="preserve">Iltimosnoma mazmuni</w:name>
    <w:value w:hidden="true">
      <w:unit w:active="false"/>
    </w:value>
  </w:element>
  <w:element w:id="8" w:kind="variable" w:selector="check" w:type="string" w:valueMode="normal" w:required="false" w:groupID="7">
    <w:identifier xml:space="preserve">ID8</w:identifier>
    <w:name xml:space="preserve">Ish bo‘yicha daʼvogarning F.I.Osi</w:name>
    <w:value w:hidden="false">
      <w:unit w:active="false"/>
    </w:value>
  </w:element>
  <w:element w:id="9" w:kind="variable" w:selector="check" w:type="string" w:valueMode="normal" w:required="false" w:groupID="7">
    <w:identifier xml:space="preserve">ID9</w:identifier>
    <w:name xml:space="preserve">Ish bo‘yicha javobgarning F.I.Osi</w:name>
    <w:value w:hidden="false">
      <w:unit w:active="false"/>
    </w:value>
  </w:element>
  <w:element w:id="10" w:kind="variable" w:selector="check" w:type="string" w:valueMode="normal" w:required="false" w:groupID="7">
    <w:identifier xml:space="preserve">ID10</w:identifier>
    <w:name xml:space="preserve">Daʼvo ariza mazmuni</w:name>
    <w:value w:hidden="false">
      <w:unit w:active="false"/>
    </w:value>
  </w:element>
  <w:element w:id="11" w:kind="variable" w:selector="check" w:type="string" w:valueMode="normal" w:required="false" w:groupID="7">
    <w:identifier xml:space="preserve">ID11</w:identifier>
    <w:name xml:space="preserve">Huquqiy voris bilan almashtirilishi lozim bo‘lgan taraf</w:name>
    <w:comment xml:space="preserve">Masalan: daʼvogar, javobgar</w:comment>
    <w:value w:hidden="false">
      <w:unit w:active="false"/>
    </w:value>
  </w:element>
  <w:element w:id="12" w:kind="variable" w:selector="check" w:type="string" w:valueMode="normal" w:required="false" w:groupID="7">
    <w:identifier xml:space="preserve">ID12</w:identifier>
    <w:name xml:space="preserve">Huquqiy voris bilan almashtiriladigan tarafning almashtirilishi sababi</w:name>
    <w:comment xml:space="preserve">Masalan: fuqaroning o‘limi, yuridik shaxsning qayta tashkil etilishi, boshqa shaxs foydasiga talabdan voz kechish, qarzning boshqa shaxsga o‘tkazilishi va h.k</w:comment>
    <w:value w:hidden="false">
      <w:unit w:active="false"/>
    </w:value>
  </w:element>
  <w:element w:id="13" w:kind="variable" w:selector="check" w:type="string" w:valueMode="normal" w:required="false" w:groupID="7">
    <w:identifier xml:space="preserve">ID13</w:identifier>
    <w:name xml:space="preserve">Ishga huquqiy voris sifatida jalb qilinishi lozim bo‘lgan shaxsning F.I.Sh</w:name>
    <w:value w:hidden="false">
      <w:unit w:active="false"/>
    </w:value>
  </w:element>
</w:structure>
</file>