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b/>
          <w:sz w:val="24"/>
        </w:rPr>
      </w:pPr>
      <w:r>
        <w:rPr>
          <w:b/>
          <w:sz w:val="24"/>
        </w:rPr>
        <w:t>SHARTNOMA</w:t>
      </w:r>
    </w:p>
    <w:p>
      <w:pPr>
        <w:jc w:val="center"/>
        <w:rPr>
          <w:b/>
          <w:sz w:val="24"/>
        </w:rPr>
      </w:pPr>
      <w:r>
        <w:rPr>
          <w:b/>
          <w:sz w:val="24"/>
        </w:rPr>
        <w:t xml:space="preserve">qoʻshimcha xizmatlar koʻrsatish xaqida</w:t>
      </w:r>
    </w:p>
    <w:p>
      <w:pPr>
        <w:jc w:val="center"/>
        <w:rPr>
          <w:b/>
          <w:sz w:val="24"/>
        </w:rPr>
      </w:pPr>
      <w:r>
        <w:rPr>
          <w:b/>
          <w:sz w:val="24"/>
        </w:rPr>
      </w:r>
    </w:p>
    <w:tbl>
      <w:tblPr>
        <w:tblW w:w="0" w:type="auto"/>
        <w:tblpPr w:horzAnchor="margin" w:vertAnchor="text" w:tblpY="198" w:tblpXSpec="center" w:leftFromText="180" w:rightFromText="180"/>
      </w:tblPr>
      <w:tblGrid>
        <w:gridCol w:w="3615"/>
        <w:gridCol w:w="2054"/>
        <w:gridCol w:w="3685"/>
      </w:tblGrid>
      <w:tr>
        <w:tc>
          <w:tcPr>
            <w:tcW w:w="3615" w:type="dxa"/>
            <w:shd w:fill="auto"/>
          </w:tcPr>
          <w:p>
            <w:pPr>
              <w:pStyle w:val="a7"/>
              <w:jc w:val="center"/>
              <w:rPr>
                <w:b/>
                <w:rFonts w:ascii="Times New Roman" w:hAnsi="Times New Roman"/>
              </w:rPr>
            </w:pPr>
            <w:r>
              <w:t xml:space="preserve"> </w:t>
            </w:r>
            <w:r>
              <w:rPr>
                <w:vanish w:val="false"/>
              </w:rPr>
              <w:fldChar w:fldCharType="begin"/>
              <w:instrText xml:space="preserve">X {"Y":2}</w:instrText>
              <w:fldChar w:fldCharType="separate"/>
            </w:r>
            <w:r>
              <w:rPr>
                <w:vanish w:val="false"/>
              </w:rPr>
              <w:t xml:space="preserve">Shartnoma tuzilgan sana</w:t>
              <w:fldChar w:fldCharType="end"/>
            </w:r>
          </w:p>
        </w:tc>
        <w:tc>
          <w:tcPr>
            <w:tcW w:w="2054" w:type="dxa"/>
            <w:shd w:fill="auto"/>
          </w:tcPr>
          <w:p>
            <w:pPr>
              <w:pStyle w:val="a7"/>
              <w:jc w:val="center"/>
            </w:pPr>
            <w:r>
              <w:rPr>
                <w:vanish w:val="false"/>
              </w:rPr>
              <w:fldChar w:fldCharType="begin"/>
              <w:instrText xml:space="preserve">X {"Y":3}</w:instrText>
              <w:fldChar w:fldCharType="separate"/>
            </w:r>
            <w:r>
              <w:rPr>
                <w:vanish w:val="false"/>
              </w:rPr>
              <w:t xml:space="preserve">Shartnoma raqami</w:t>
              <w:fldChar w:fldCharType="end"/>
            </w:r>
          </w:p>
          <w:p>
            <w:pPr>
              <w:pStyle w:val="a7"/>
              <w:jc w:val="center"/>
            </w:pPr>
          </w:p>
        </w:tc>
        <w:tc>
          <w:tcPr>
            <w:tcW w:w="3685" w:type="dxa"/>
            <w:shd w:fill="auto"/>
          </w:tcPr>
          <w:p>
            <w:pPr>
              <w:pStyle w:val="a7"/>
              <w:jc w:val="center"/>
            </w:pPr>
            <w:r>
              <w:rPr>
                <w:vanish w:val="false"/>
              </w:rPr>
              <w:fldChar w:fldCharType="begin"/>
              <w:instrText xml:space="preserve">X {"Y":4}</w:instrText>
              <w:fldChar w:fldCharType="separate"/>
            </w:r>
            <w:r>
              <w:rPr>
                <w:vanish w:val="false"/>
              </w:rPr>
              <w:t xml:space="preserve">Shartnoma tuzilgan joy</w:t>
              <w:fldChar w:fldCharType="end"/>
            </w:r>
          </w:p>
          <w:p>
            <w:pPr>
              <w:pStyle w:val="a7"/>
              <w:jc w:val="center"/>
              <w:rPr>
                <w:b/>
                <w:rFonts w:ascii="Times New Roman" w:hAnsi="Times New Roman"/>
              </w:rPr>
            </w:pPr>
          </w:p>
        </w:tc>
      </w:tr>
    </w:tbl>
    <w:p>
      <w:pPr>
        <w:jc w:val="both"/>
        <w:ind w:firstLine="720"/>
        <w:rPr>
          <w:sz w:val="24"/>
        </w:rPr>
      </w:pPr>
      <w:r>
        <w:rPr>
          <w:sz w:val="24"/>
        </w:rPr>
        <w:t xml:space="preserve">Bundan buyon matnda “Temir yoʻl” deb yuritiluvchi “Oʻzbekiston temir yoʻllari” AJ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Temur yo‘l tashkilotining nomi va tashkiliy huquqiy shakli</w:t>
        <w:fldChar w:fldCharType="end"/>
      </w:r>
      <w:r>
        <w:rPr>
          <w:sz w:val="24"/>
        </w:rPr>
        <w:t xml:space="preserve"> nomidan </w:t>
      </w: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Temur yo‘l tashkiloti nomidan ish olib boruvchi vakilga ishonchnoma berilgan sana</w:t>
        <w:fldChar w:fldCharType="end"/>
      </w:r>
      <w:r>
        <w:rPr>
          <w:sz w:val="24"/>
        </w:rPr>
        <w:t xml:space="preserve">dagi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Temur yo‘l tashkiloti nomidan ish olib boruvchi vakilga berilgan ishonchnoma raqami</w:t>
        <w:fldChar w:fldCharType="end"/>
      </w:r>
      <w:r>
        <w:rPr>
          <w:sz w:val="24"/>
        </w:rPr>
        <w:t xml:space="preserve">-sonli ishonchnomaga asosan xarakat qiluvchi, korxonaning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Temur yo‘l tashkiloti nomidan ish olib boruvchi vakilning lavozimi va F.I.O.si</w:t>
        <w:fldChar w:fldCharType="end"/>
      </w:r>
      <w:r>
        <w:rPr>
          <w:sz w:val="24"/>
        </w:rPr>
        <w:t xml:space="preserve"> bir tomondan va bundan buyon matnda “Mijoz” deb yuritiluvchi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Mijoz tashkilotning nomi va tashkiliy huquqiy shakli</w:t>
        <w:fldChar w:fldCharType="end"/>
      </w:r>
      <w:r>
        <w:rPr>
          <w:sz w:val="24"/>
        </w:rPr>
        <w:t xml:space="preserve"> nomidan korxona Nizomiga asosan harakat qiluvchi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Mijoz tashkilot vakilining lavozimi va F.I.O.si</w:t>
        <w:fldChar w:fldCharType="end"/>
      </w:r>
      <w:r>
        <w:rPr>
          <w:sz w:val="24"/>
        </w:rPr>
        <w:t xml:space="preserve"> ikkinchi tomondan, Oʻzbekiston Respublikasining amaldagi “Xoʻjalik yurituvchi subyektlar faoliyatining sharnomaviy-huquqiy bazasi toʻgʻrisida” gi Qonuniga muvofiq va Oʻzbekiston Respublikasi temir yoʻl Nizomiga asosan ushbu shartnomani quyidagilar xaqida tuzdik</w:t>
      </w:r>
    </w:p>
    <w:p>
      <w:pPr>
        <w:jc w:val="both"/>
        <w:rPr>
          <w:sz w:val="24"/>
        </w:rPr>
      </w:pPr>
      <w:r>
        <w:rPr>
          <w:b/>
          <w:sz w:val="24"/>
        </w:rPr>
      </w:r>
    </w:p>
    <w:p>
      <w:pPr>
        <w:jc w:val="center"/>
        <w:rPr>
          <w:b/>
          <w:sz w:val="24"/>
        </w:rPr>
      </w:pPr>
      <w:r>
        <w:rPr>
          <w:b/>
          <w:sz w:val="24"/>
        </w:rPr>
        <w:t xml:space="preserve">I. SHARTNOMA MAVZUSI: </w:t>
      </w:r>
    </w:p>
    <w:p>
      <w:pPr>
        <w:jc w:val="both"/>
        <w:rPr>
          <w:sz w:val="24"/>
        </w:rPr>
      </w:pPr>
    </w:p>
    <w:p>
      <w:pPr>
        <w:jc w:val="both"/>
        <w:rPr>
          <w:sz w:val="24"/>
        </w:rPr>
      </w:pPr>
      <w:r>
        <w:rPr>
          <w:sz w:val="24"/>
        </w:rPr>
        <w:tab/>
        <w:t xml:space="preserve">1.1. Ushbu shartnoma Oʻzbekiston Respublikasi demonopolizatsiya va raqobatni rivojlantirish davlat qoʻmitasi raisi tomonidan 25.11.2011 da kelishilgan va “Oʻzbekiston temir yoʻllari” AJ ning 29.11.2011-yildagi 543-N-sonli buyrugʻi bilan tasdiqlangan “Oʻzbekiston temir yoʻllari” AJ tomonidan shartnomaviy (erkin) tariflar boʻyicha bajariladigan ishlar va xizmatlar roʻyxatini amalda joriy etish toʻgʻrisida”gi buyrugʻiga asosan temir yoʻl transportida tashish jarayonida yuzaga keladigan qoʻshimcha xizmatlar koʻrsatish tartibini belgilaydi. </w:t>
      </w:r>
    </w:p>
    <w:p>
      <w:pPr>
        <w:jc w:val="both"/>
        <w:rPr>
          <w:sz w:val="24"/>
        </w:rPr>
      </w:pPr>
      <w:r>
        <w:rPr>
          <w:sz w:val="24"/>
        </w:rPr>
        <w:tab/>
        <w:t xml:space="preserve">1.2. Temir yoʻl stansiyasida koʻrsatiladigan qoʻshimcha xizmatlar uchun toʻlov miqdori va toʻlov tartibini belgilaydi (narxlarni kelishish bayonnomasi  ilova qilinadi ).</w:t>
      </w:r>
    </w:p>
    <w:p>
      <w:pPr>
        <w:jc w:val="both"/>
        <w:rPr>
          <w:sz w:val="24"/>
        </w:rPr>
      </w:pPr>
      <w:r>
        <w:rPr>
          <w:sz w:val="24"/>
        </w:rPr>
        <w:t xml:space="preserve"> </w:t>
        <w:tab/>
      </w:r>
    </w:p>
    <w:p>
      <w:pPr>
        <w:jc w:val="center"/>
        <w:rPr>
          <w:b/>
          <w:sz w:val="24"/>
        </w:rPr>
      </w:pPr>
      <w:r>
        <w:rPr>
          <w:b/>
          <w:sz w:val="24"/>
        </w:rPr>
        <w:t xml:space="preserve">II. TOMONLARNING MAJBURIYATLARI VA JAVOBGARLIGI.</w:t>
      </w:r>
    </w:p>
    <w:p>
      <w:pPr>
        <w:jc w:val="both"/>
        <w:rPr>
          <w:b/>
          <w:sz w:val="24"/>
        </w:rPr>
      </w:pPr>
    </w:p>
    <w:p>
      <w:pPr>
        <w:jc w:val="both"/>
        <w:ind w:left="709"/>
        <w:rPr>
          <w:b/>
          <w:sz w:val="24"/>
        </w:rPr>
      </w:pPr>
      <w:r>
        <w:rPr>
          <w:b/>
          <w:sz w:val="24"/>
        </w:rPr>
        <w:t xml:space="preserve">“Mijoz” quyidagilarni oʻz zimmasiga oladi:</w:t>
      </w:r>
    </w:p>
    <w:p>
      <w:pPr>
        <w:jc w:val="both"/>
        <w:tabs>
          <w:tab w:val="left" w:pos="851"/>
        </w:tabs>
        <w:rPr>
          <w:sz w:val="24"/>
        </w:rPr>
      </w:pPr>
      <w:r>
        <w:rPr>
          <w:sz w:val="24"/>
        </w:rPr>
        <w:tab/>
        <w:t xml:space="preserve">2.1. “Mijoz” kutilayotgan qoʻshimcha temir yoʻl xizmatlari uchun 100% oldindan toʻlovni amalga oshiradi.</w:t>
      </w:r>
    </w:p>
    <w:p>
      <w:pPr>
        <w:jc w:val="both"/>
        <w:rPr>
          <w:sz w:val="24"/>
        </w:rPr>
      </w:pPr>
      <w:r>
        <w:rPr>
          <w:sz w:val="24"/>
        </w:rPr>
        <w:tab/>
        <w:t xml:space="preserve">2.2. Yuk tashish qoidalariga muvofiq, belgilangan muddatlarda vagonlarni yuklash va tushirishni amalga oshiradi.</w:t>
      </w:r>
    </w:p>
    <w:p>
      <w:pPr>
        <w:jc w:val="both"/>
        <w:ind w:firstLine="684"/>
        <w:rPr>
          <w:sz w:val="24"/>
          <w:rFonts w:ascii="Times New Roman" w:hAnsi="Times New Roman"/>
        </w:rPr>
      </w:pPr>
      <w:r>
        <w:rPr>
          <w:sz w:val="24"/>
        </w:rPr>
        <w:t xml:space="preserve">2.3. Qoʻshimcha xizmatlar uchun oldindan toʻlov miqdori yuk tashish uchun va shartnomaviy tariflarga narxlarni kelishish bayonnomasiga asosan amal qiluvchi qoʻshimcha xizmatlarga toʻlovlarni xisobga oluvchi xisob – varaqani tuzishda aniqlanadi. </w:t>
      </w:r>
    </w:p>
    <w:p>
      <w:pPr>
        <w:jc w:val="both"/>
        <w:rPr>
          <w:sz w:val="24"/>
        </w:rPr>
      </w:pPr>
      <w:r>
        <w:rPr>
          <w:sz w:val="24"/>
        </w:rPr>
        <w:tab/>
        <w:t xml:space="preserve">2.4. Oldindan toʻlovlar “Mijoz” tomonidan “Oʻztemiryoʻlxisob” markazi texnologik markazlari (TexPD) xisob raqamiga pul oʻtkazish yoʻli bilan, “Mijoz” va TexPD oʻrtasida aloxida tuzilgan “Temir yoʻl transportida tashishlar va koʻrsatilgan xizmatlar uchun xisob kitob qilishning tartibi va aloxida xususiyatlari toʻgʻrisidagi Kelishuv” ga asosan amalga oshiriladi.</w:t>
      </w:r>
    </w:p>
    <w:p>
      <w:pPr>
        <w:jc w:val="both"/>
        <w:ind w:firstLine="284"/>
        <w:rPr>
          <w:sz w:val="24"/>
        </w:rPr>
      </w:pPr>
      <w:r>
        <w:rPr>
          <w:sz w:val="24"/>
        </w:rPr>
        <w:tab/>
        <w:t xml:space="preserve">2.5. Koʻrsatilgan xizmatlar uchun toʻlovlar kechikib amalga oshirilgan taqdirda “Mijoz” kechiktirilgan har bir kun uchun bajarilgan xizmatlar qiymatining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Ko‘rsatilgan xizmatlar uchun to‘lovlar kechikib amalga oshirilgan har bir kun uchun to‘lanishi lozim bo‘lgan penya miqdori</w:t>
        <w:fldChar w:fldCharType="end"/>
      </w:r>
      <w:r>
        <w:rPr>
          <w:sz w:val="24"/>
        </w:rPr>
        <w:t xml:space="preserve"> miqdorida, lekin muddati oʻtgan toʻlov summasining 50% dan koʻp boʻlmagan miqdorda jarima toʻlaydi.</w:t>
      </w:r>
    </w:p>
    <w:p>
      <w:pPr>
        <w:jc w:val="both"/>
        <w:ind w:firstLine="284"/>
        <w:rPr>
          <w:sz w:val="24"/>
        </w:rPr>
      </w:pPr>
      <w:r>
        <w:rPr>
          <w:sz w:val="24"/>
        </w:rPr>
        <w:t xml:space="preserve">Jarimani xisoblash yuk operatsiyalari bajarilgandan va hisob-kitob hujjatlari rasmiylashtirilgandan keyin toʻlovlar toʻlanmaganidan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Jarima (penya)ni xisoblash boshlanadaigan sana</w:t>
        <w:fldChar w:fldCharType="end"/>
      </w:r>
      <w:r>
        <w:rPr>
          <w:sz w:val="24"/>
        </w:rPr>
        <w:t xml:space="preserve"> keyin amalga oshiriladi.</w:t>
      </w:r>
    </w:p>
    <w:p>
      <w:pPr>
        <w:jc w:val="both"/>
        <w:rPr>
          <w:sz w:val="24"/>
        </w:rPr>
      </w:pPr>
      <w:r>
        <w:rPr>
          <w:sz w:val="24"/>
        </w:rPr>
        <w:tab/>
        <w:t xml:space="preserve">2.6. Vagonlarni oʻz vaqtida yuklash va tushirish ishlari amalga oshirilmaganda va bu vagonlar belgilangan meʼyoriy vaqtlardan ortiq turib qolgan taqdirda “Mijoz” Oʻzbekiston Respublikasi temir yoʻl Nizomining 132-bandi talablariga asosan vagonlarning belgilangan meʼyoriy vaqtlardan ortiq turib qolganligi uchun “Temir yoʻlga” jarima toʻlaydi. </w:t>
      </w:r>
    </w:p>
    <w:p>
      <w:pPr>
        <w:jc w:val="both"/>
        <w:rPr>
          <w:b/>
          <w:sz w:val="24"/>
        </w:rPr>
      </w:pPr>
      <w:r>
        <w:rPr>
          <w:b/>
          <w:sz w:val="24"/>
        </w:rPr>
      </w:r>
    </w:p>
    <w:p>
      <w:pPr>
        <w:jc w:val="center"/>
        <w:rPr>
          <w:b/>
          <w:sz w:val="24"/>
        </w:rPr>
      </w:pPr>
      <w:r>
        <w:rPr>
          <w:b/>
          <w:sz w:val="24"/>
        </w:rPr>
        <w:t xml:space="preserve">“Temir yoʻl” quyidagilarni oʻz zimmasiga oladi :</w:t>
      </w:r>
    </w:p>
    <w:p>
      <w:pPr>
        <w:jc w:val="center"/>
        <w:rPr>
          <w:b/>
          <w:sz w:val="24"/>
        </w:rPr>
      </w:pPr>
    </w:p>
    <w:p>
      <w:pPr>
        <w:jc w:val="both"/>
        <w:rPr>
          <w:sz w:val="24"/>
        </w:rPr>
      </w:pPr>
      <w:r>
        <w:rPr>
          <w:sz w:val="24"/>
        </w:rPr>
        <w:tab/>
        <w:t xml:space="preserve">2.7. Xarajatlar xisob-kitobi boʻyicha roʻyxatga muvofiq, yuk operatsiyalari vaqtida keyingi indeksatsiya va belgilangan QQS bilan qoʻshimcha xizmatlarni oʻz vaqtida koʻrsatilishini taʼminlaydi.</w:t>
      </w:r>
    </w:p>
    <w:p>
      <w:pPr>
        <w:jc w:val="both"/>
        <w:rPr>
          <w:sz w:val="24"/>
        </w:rPr>
      </w:pPr>
      <w:r>
        <w:rPr>
          <w:sz w:val="24"/>
        </w:rPr>
        <w:tab/>
        <w:t xml:space="preserve">2.8. Agar stansiyada “Mijoz” tomonidan toʻlangan xizmatlar koʻrsatilmasa,“Temir yoʻl” foydalanilmagan summani qaytaradi yoki bu summa keyingi temir yoʻl xizmatlari uchun toʻlov sifatida hisobga olinadi</w:t>
      </w:r>
    </w:p>
    <w:p>
      <w:pPr>
        <w:jc w:val="both"/>
        <w:rPr>
          <w:sz w:val="24"/>
        </w:rPr>
      </w:pPr>
    </w:p>
    <w:p>
      <w:pPr>
        <w:jc w:val="both"/>
        <w:rPr>
          <w:sz w:val="24"/>
        </w:rPr>
      </w:pPr>
    </w:p>
    <w:p>
      <w:pPr>
        <w:jc w:val="center"/>
        <w:rPr>
          <w:b/>
          <w:sz w:val="24"/>
        </w:rPr>
      </w:pPr>
      <w:r>
        <w:rPr>
          <w:b/>
          <w:sz w:val="24"/>
        </w:rPr>
        <w:t xml:space="preserve">III. SHARTNOMANING AMAL QILISH MUDDATI, OʻZGARTIRISH VA BEKOR QILISH </w:t>
      </w:r>
    </w:p>
    <w:p>
      <w:pPr>
        <w:jc w:val="center"/>
        <w:rPr>
          <w:b/>
          <w:sz w:val="24"/>
        </w:rPr>
      </w:pPr>
    </w:p>
    <w:p>
      <w:pPr>
        <w:jc w:val="both"/>
        <w:rPr>
          <w:sz w:val="24"/>
        </w:rPr>
      </w:pPr>
      <w:r>
        <w:rPr>
          <w:b/>
          <w:sz w:val="24"/>
        </w:rPr>
        <w:tab/>
      </w:r>
      <w:r>
        <w:rPr>
          <w:sz w:val="24"/>
        </w:rPr>
        <w:t xml:space="preserve">3.1. Shartnoma uch nusxada tuziladi, har bir tomon uchun bittadan, shu jumladan stansiya uchun bitta nusxada, va u taraflar tomonidan imzolangandan keyin bir xil yuridik kuchga ega.</w:t>
      </w:r>
    </w:p>
    <w:p>
      <w:pPr>
        <w:jc w:val="both"/>
        <w:rPr>
          <w:sz w:val="24"/>
        </w:rPr>
      </w:pPr>
      <w:r>
        <w:rPr>
          <w:sz w:val="24"/>
        </w:rPr>
        <w:tab/>
        <w:t xml:space="preserve">3.2. Ushbu shartnomani bajarish, oʻzgartirish va bekor qilish yuzasidan kelib chiqadigan nizo va kelishmovchiliklar oʻzaro muzokaralar, eʼtirozlar va daʼvolar kiritish orqali, Oʻzbekiston Respublikasi temir yoʻl Nizomida nazarda tutilgan tartibda hal etiladi.</w:t>
      </w:r>
    </w:p>
    <w:p>
      <w:pPr>
        <w:jc w:val="both"/>
        <w:rPr>
          <w:sz w:val="24"/>
        </w:rPr>
      </w:pPr>
      <w:r>
        <w:rPr>
          <w:sz w:val="24"/>
        </w:rPr>
        <w:tab/>
        <w:t xml:space="preserve">3.3. Ushbu shartnoma taraflar tomonidan imzolangandan keyin kuchga kiradi va bekor qilingunga qadar amal qiladi, bir tomon ikkinchi tomonni bekor qilinishi kutilayotgan sanadan 30 kun oldin xabardor qilgan taqdirda, shartnoma  taraflardan birining yozma iltimosiga binoan bekor qilinishi mumkin. </w:t>
      </w:r>
    </w:p>
    <w:p>
      <w:pPr>
        <w:jc w:val="both"/>
        <w:rPr>
          <w:sz w:val="24"/>
        </w:rPr>
      </w:pPr>
      <w:r>
        <w:rPr>
          <w:sz w:val="24"/>
        </w:rPr>
        <w:tab/>
        <w:t xml:space="preserve">3.4. Energoresurslar, materiallar va x.k.z. lar uchun narxlar oshgan taqdirda yigʻimlar miqdori indeksatsiya qilinadi.</w:t>
      </w:r>
    </w:p>
    <w:p>
      <w:pPr>
        <w:jc w:val="both"/>
        <w:rPr>
          <w:sz w:val="24"/>
        </w:rPr>
      </w:pPr>
    </w:p>
    <w:p>
      <w:pPr>
        <w:jc w:val="center"/>
        <w:rPr>
          <w:b/>
          <w:sz w:val="24"/>
        </w:rPr>
      </w:pPr>
      <w:r>
        <w:rPr>
          <w:b/>
          <w:sz w:val="24"/>
        </w:rPr>
      </w:r>
    </w:p>
    <w:p>
      <w:pPr>
        <w:jc w:val="center"/>
        <w:rPr>
          <w:b/>
          <w:sz w:val="24"/>
        </w:rPr>
      </w:pPr>
      <w:r>
        <w:rPr>
          <w:b/>
          <w:sz w:val="24"/>
        </w:rPr>
        <w:t xml:space="preserve">IV. TOMONLARNING REKVIZITLARI</w:t>
      </w:r>
    </w:p>
    <w:p>
      <w:pPr>
        <w:jc w:val="center"/>
        <w:rPr>
          <w:b/>
          <w:sz w:val="24"/>
        </w:rPr>
      </w:pPr>
    </w:p>
    <w:tbl>
      <w:tblPr>
        <w:tblStyle w:val="a8"/>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936"/>
        <w:gridCol w:w="1275"/>
        <w:gridCol w:w="4134"/>
      </w:tblGrid>
      <w:tr>
        <w:tc>
          <w:tcPr>
            <w:tcW w:w="3936" w:type="dxa"/>
          </w:tcPr>
          <w:p>
            <w:pPr>
              <w:jc w:val="center"/>
              <w:rPr>
                <w:b/>
                <w:sz w:val="24"/>
                <w:rFonts w:ascii="Times New Roman" w:hAnsi="Times New Roman"/>
              </w:rPr>
            </w:pPr>
            <w:r>
              <w:rPr>
                <w:b/>
                <w:sz w:val="24"/>
                <w:rFonts w:ascii="Times New Roman" w:hAnsi="Times New Roman"/>
              </w:rPr>
            </w:r>
          </w:p>
          <w:p>
            <w:pPr>
              <w:jc w:val="center"/>
              <w:rPr>
                <w:b/>
                <w:sz w:val="24"/>
                <w:rFonts w:ascii="Times New Roman" w:hAnsi="Times New Roman"/>
              </w:rPr>
            </w:pPr>
            <w:r>
              <w:rPr>
                <w:b/>
                <w:sz w:val="24"/>
                <w:rFonts w:ascii="Times New Roman" w:hAnsi="Times New Roman"/>
              </w:rPr>
              <w:t xml:space="preserve">Temir yoʻl</w:t>
            </w:r>
          </w:p>
          <w:p>
            <w:pPr>
              <w:rPr>
                <w:b/>
                <w:sz w:val="24"/>
              </w:rPr>
            </w:pPr>
          </w:p>
          <w:p>
            <w:pPr>
              <w:jc w:val="center"/>
              <w:rPr>
                <w:b/>
                <w:sz w:val="24"/>
              </w:rPr>
            </w:pPr>
          </w:p>
        </w:tc>
        <w:tc>
          <w:tcPr>
            <w:tcW w:w="1275" w:type="dxa"/>
          </w:tcPr>
          <w:p>
            <w:pPr>
              <w:rPr>
                <w:b/>
                <w:sz w:val="24"/>
              </w:rPr>
            </w:pPr>
          </w:p>
          <w:p>
            <w:pPr>
              <w:jc w:val="center"/>
              <w:rPr>
                <w:b/>
                <w:sz w:val="24"/>
              </w:rPr>
            </w:pPr>
          </w:p>
        </w:tc>
        <w:tc>
          <w:tcPr>
            <w:tcW w:w="4134" w:type="dxa"/>
          </w:tcPr>
          <w:p>
            <w:pPr>
              <w:jc w:val="center"/>
              <w:rPr>
                <w:b/>
                <w:sz w:val="24"/>
                <w:rFonts w:ascii="Times New Roman" w:hAnsi="Times New Roman"/>
              </w:rPr>
            </w:pPr>
            <w:r>
              <w:rPr>
                <w:b/>
                <w:sz w:val="24"/>
                <w:rFonts w:ascii="Times New Roman" w:hAnsi="Times New Roman"/>
              </w:rPr>
            </w:r>
          </w:p>
          <w:p>
            <w:pPr>
              <w:jc w:val="center"/>
              <w:rPr>
                <w:b/>
                <w:sz w:val="24"/>
                <w:rFonts w:ascii="Times New Roman" w:hAnsi="Times New Roman"/>
              </w:rPr>
            </w:pPr>
            <w:r>
              <w:rPr>
                <w:b/>
                <w:sz w:val="24"/>
                <w:rFonts w:ascii="Times New Roman" w:hAnsi="Times New Roman"/>
              </w:rPr>
              <w:t>Mijoz</w:t>
            </w:r>
          </w:p>
        </w:tc>
      </w:tr>
      <w:tr>
        <w:tc>
          <w:tcPr>
            <w:tcW w:w="3936" w:type="dxa"/>
          </w:tcPr>
          <w:p>
            <w:pPr>
              <w:rPr>
                <w:sz w:val="24"/>
                <w:rFonts w:ascii="Times New Roman" w:hAnsi="Times New Roman"/>
              </w:rPr>
            </w:pP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Temur yo‘l tashkilotining nomi va tashkiliy huquqiy shakli</w:t>
              <w:fldChar w:fldCharType="end"/>
            </w:r>
          </w:p>
        </w:tc>
        <w:tc>
          <w:tcPr>
            <w:tcW w:w="1275" w:type="dxa"/>
          </w:tcPr>
          <w:p>
            <w:pPr>
              <w:rPr>
                <w:sz w:val="24"/>
              </w:rPr>
            </w:pPr>
          </w:p>
        </w:tc>
        <w:tc>
          <w:tcPr>
            <w:tcW w:w="4134" w:type="dxa"/>
          </w:tcPr>
          <w:p>
            <w:pPr>
              <w:rPr>
                <w:sz w:val="24"/>
                <w:rFonts w:ascii="Times New Roman" w:hAnsi="Times New Roman"/>
              </w:rPr>
            </w:pP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Mijoz tashkilotning nomi va tashkiliy huquqiy shakli</w:t>
              <w:fldChar w:fldCharType="end"/>
            </w:r>
          </w:p>
        </w:tc>
      </w:tr>
      <w:tr>
        <w:tc>
          <w:tcPr>
            <w:tcW w:w="3936" w:type="dxa"/>
          </w:tcPr>
          <w:p>
            <w:pPr>
              <w:rPr>
                <w:sz w:val="24"/>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Temur yo‘l  tashkilotining manzili</w:t>
              <w:fldChar w:fldCharType="end"/>
            </w:r>
          </w:p>
        </w:tc>
        <w:tc>
          <w:tcPr>
            <w:tcW w:w="1275" w:type="dxa"/>
          </w:tcPr>
          <w:p>
            <w:pPr>
              <w:rPr>
                <w:sz w:val="24"/>
              </w:rPr>
            </w:pPr>
          </w:p>
        </w:tc>
        <w:tc>
          <w:tcPr>
            <w:tcW w:w="4134" w:type="dxa"/>
          </w:tcPr>
          <w:p>
            <w:pPr>
              <w:rPr>
                <w:sz w:val="24"/>
                <w:rFonts w:ascii="Times New Roman" w:hAnsi="Times New Roman"/>
              </w:rPr>
            </w:pPr>
            <w:r>
              <w:rPr>
                <w:sz w:val="24"/>
                <w:rFonts w:ascii="Times New Roman" w:hAnsi="Times New Roman"/>
              </w:rPr>
              <w:t xml:space="preserve">Manzil: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Mijoz tashkilotning manzili</w:t>
              <w:fldChar w:fldCharType="end"/>
            </w:r>
          </w:p>
        </w:tc>
      </w:tr>
      <w:tr>
        <w:tc>
          <w:tcPr>
            <w:tcW w:w="3936" w:type="dxa"/>
          </w:tcPr>
          <w:p>
            <w:pPr>
              <w:rPr>
                <w:sz w:val="24"/>
                <w:rFonts w:ascii="Times New Roman" w:hAnsi="Times New Roman"/>
              </w:rPr>
            </w:pPr>
            <w:r>
              <w:rPr>
                <w:sz w:val="24"/>
                <w:rFonts w:ascii="Times New Roman" w:hAnsi="Times New Roman"/>
              </w:rPr>
              <w:t xml:space="preserve">H/r: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Temur yo‘l tashkilotining hisob raqam</w:t>
              <w:fldChar w:fldCharType="end"/>
            </w:r>
          </w:p>
        </w:tc>
        <w:tc>
          <w:tcPr>
            <w:tcW w:w="1275" w:type="dxa"/>
          </w:tcPr>
          <w:p>
            <w:pPr>
              <w:rPr>
                <w:sz w:val="24"/>
              </w:rPr>
            </w:pPr>
          </w:p>
        </w:tc>
        <w:tc>
          <w:tcPr>
            <w:tcW w:w="4134" w:type="dxa"/>
          </w:tcPr>
          <w:p>
            <w:pPr>
              <w:rPr>
                <w:sz w:val="24"/>
                <w:rFonts w:ascii="Times New Roman" w:hAnsi="Times New Roman"/>
              </w:rPr>
            </w:pPr>
            <w:r>
              <w:rPr>
                <w:sz w:val="24"/>
                <w:rFonts w:ascii="Times New Roman" w:hAnsi="Times New Roman"/>
              </w:rPr>
              <w:t xml:space="preserve">H/r: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Mijoz tashkilotning hisob raqami</w:t>
              <w:fldChar w:fldCharType="end"/>
            </w:r>
          </w:p>
        </w:tc>
      </w:tr>
      <w:tr>
        <w:tc>
          <w:tcPr>
            <w:tcW w:w="3936" w:type="dxa"/>
          </w:tcPr>
          <w:p>
            <w:pPr>
              <w:rPr>
                <w:sz w:val="24"/>
                <w:rFonts w:ascii="Times New Roman" w:hAnsi="Times New Roman"/>
              </w:rPr>
            </w:pPr>
            <w:r>
              <w:rPr>
                <w:sz w:val="24"/>
                <w:rFonts w:ascii="Times New Roman" w:hAnsi="Times New Roman"/>
              </w:rPr>
              <w:t xml:space="preserve">STIR: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Temur yo‘l tashkilotining STIR raqami</w:t>
              <w:fldChar w:fldCharType="end"/>
            </w:r>
          </w:p>
        </w:tc>
        <w:tc>
          <w:tcPr>
            <w:tcW w:w="1275" w:type="dxa"/>
          </w:tcPr>
          <w:p>
            <w:pPr>
              <w:rPr>
                <w:sz w:val="24"/>
              </w:rPr>
            </w:pPr>
          </w:p>
        </w:tc>
        <w:tc>
          <w:tcPr>
            <w:tcW w:w="4134" w:type="dxa"/>
          </w:tcPr>
          <w:p>
            <w:pPr>
              <w:rPr>
                <w:sz w:val="24"/>
                <w:rFonts w:ascii="Times New Roman" w:hAnsi="Times New Roman"/>
              </w:rPr>
            </w:pPr>
            <w:r>
              <w:rPr>
                <w:sz w:val="24"/>
                <w:rFonts w:ascii="Times New Roman" w:hAnsi="Times New Roman"/>
              </w:rPr>
              <w:t xml:space="preserve">STIR: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Mijoz tashkilotning STIR raqami</w:t>
              <w:fldChar w:fldCharType="end"/>
            </w:r>
          </w:p>
        </w:tc>
      </w:tr>
      <w:tr>
        <w:tc>
          <w:tcPr>
            <w:tcW w:w="3936" w:type="dxa"/>
          </w:tcPr>
          <w:p>
            <w:pPr>
              <w:rPr>
                <w:sz w:val="24"/>
                <w:rFonts w:ascii="Times New Roman" w:hAnsi="Times New Roman"/>
              </w:rPr>
            </w:pPr>
            <w:r>
              <w:rPr>
                <w:sz w:val="24"/>
                <w:rFonts w:ascii="Times New Roman" w:hAnsi="Times New Roman"/>
              </w:rPr>
              <w:t xml:space="preserve">Tel: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Temur yo‘l tashkilotining telefon raqami</w:t>
              <w:fldChar w:fldCharType="end"/>
            </w:r>
          </w:p>
          <w:p>
            <w:pPr>
              <w:rPr>
                <w:sz w:val="24"/>
                <w:rFonts w:ascii="Times New Roman" w:hAnsi="Times New Roman"/>
              </w:rPr>
            </w:pPr>
            <w:r>
              <w:rPr>
                <w:sz w:val="24"/>
                <w:rFonts w:ascii="Times New Roman" w:hAnsi="Times New Roman"/>
              </w:rPr>
              <w:t xml:space="preserve">El. Pochta: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Temur yo‘l tashkilotining elektron pochtasi</w:t>
              <w:fldChar w:fldCharType="end"/>
            </w:r>
          </w:p>
        </w:tc>
        <w:tc>
          <w:tcPr>
            <w:tcW w:w="1275" w:type="dxa"/>
          </w:tcPr>
          <w:p>
            <w:pPr>
              <w:rPr>
                <w:sz w:val="24"/>
              </w:rPr>
            </w:pPr>
          </w:p>
        </w:tc>
        <w:tc>
          <w:tcPr>
            <w:tcW w:w="4134" w:type="dxa"/>
          </w:tcPr>
          <w:p>
            <w:pPr>
              <w:rPr>
                <w:sz w:val="24"/>
                <w:rFonts w:ascii="Times New Roman" w:hAnsi="Times New Roman"/>
              </w:rPr>
            </w:pPr>
            <w:r>
              <w:rPr>
                <w:sz w:val="24"/>
                <w:rFonts w:ascii="Times New Roman" w:hAnsi="Times New Roman"/>
              </w:rPr>
              <w:t xml:space="preserve">Tel: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Mijoz tashkilotning telefon raqami</w:t>
              <w:fldChar w:fldCharType="end"/>
            </w:r>
          </w:p>
          <w:p>
            <w:pPr>
              <w:rPr>
                <w:sz w:val="24"/>
                <w:rFonts w:ascii="Times New Roman" w:hAnsi="Times New Roman"/>
              </w:rPr>
            </w:pPr>
            <w:r>
              <w:rPr>
                <w:sz w:val="24"/>
                <w:rFonts w:ascii="Times New Roman" w:hAnsi="Times New Roman"/>
              </w:rPr>
              <w:t xml:space="preserve">El. Pochta: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Mijoz tashkilotning elektron pochtasi</w:t>
              <w:fldChar w:fldCharType="end"/>
            </w:r>
          </w:p>
        </w:tc>
      </w:tr>
      <w:tr>
        <w:tc>
          <w:tcPr>
            <w:tcW w:w="3936" w:type="dxa"/>
          </w:tcPr>
          <w:p>
            <w:pPr>
              <w:rPr>
                <w:sz w:val="24"/>
                <w:rFonts w:ascii="Times New Roman" w:hAnsi="Times New Roman"/>
              </w:rPr>
            </w:pP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Temur yo‘l tashkiloti nomidan ish olib boruvchi vakilning lavozimi va F.I.O.si</w:t>
              <w:fldChar w:fldCharType="end"/>
            </w:r>
          </w:p>
        </w:tc>
        <w:tc>
          <w:tcPr>
            <w:tcW w:w="1275" w:type="dxa"/>
          </w:tcPr>
          <w:p>
            <w:pPr>
              <w:rPr>
                <w:sz w:val="24"/>
              </w:rPr>
            </w:pPr>
          </w:p>
        </w:tc>
        <w:tc>
          <w:tcPr>
            <w:tcW w:w="4134" w:type="dxa"/>
          </w:tcPr>
          <w:p>
            <w:pPr>
              <w:rPr>
                <w:sz w:val="24"/>
                <w:rFonts w:ascii="Times New Roman" w:hAnsi="Times New Roman"/>
              </w:rPr>
            </w:pP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Mijoz tashkilot vakilining lavozimi va F.I.O.si</w:t>
              <w:fldChar w:fldCharType="end"/>
            </w:r>
          </w:p>
        </w:tc>
      </w:tr>
      <w:tr>
        <w:tc>
          <w:tcPr>
            <w:tcW w:w="3936" w:type="dxa"/>
          </w:tcPr>
          <w:p>
            <w:pPr>
              <w:jc w:val="center"/>
              <w:rPr>
                <w:sz w:val="24"/>
                <w:rFonts w:ascii="Times New Roman" w:hAnsi="Times New Roman"/>
              </w:rPr>
            </w:pPr>
            <w:r>
              <w:rPr>
                <w:sz w:val="24"/>
                <w:rFonts w:ascii="Times New Roman" w:hAnsi="Times New Roman"/>
              </w:rPr>
              <w:t xml:space="preserve"> (Imzo, muhr)</w:t>
            </w:r>
          </w:p>
        </w:tc>
        <w:tc>
          <w:tcPr>
            <w:tcW w:w="1275" w:type="dxa"/>
          </w:tcPr>
          <w:p>
            <w:pPr>
              <w:jc w:val="center"/>
              <w:rPr>
                <w:sz w:val="24"/>
              </w:rPr>
            </w:pPr>
          </w:p>
        </w:tc>
        <w:tc>
          <w:tcPr>
            <w:tcW w:w="4134" w:type="dxa"/>
          </w:tcPr>
          <w:p>
            <w:pPr>
              <w:jc w:val="center"/>
              <w:rPr>
                <w:sz w:val="24"/>
                <w:rFonts w:ascii="Times New Roman" w:hAnsi="Times New Roman"/>
              </w:rPr>
            </w:pPr>
            <w:r>
              <w:rPr>
                <w:sz w:val="24"/>
                <w:rFonts w:ascii="Times New Roman" w:hAnsi="Times New Roman"/>
              </w:rPr>
              <w:t xml:space="preserve">(Imzo, muhr)</w:t>
            </w:r>
          </w:p>
        </w:tc>
      </w:tr>
      <w:tr>
        <w:tc>
          <w:tcPr>
            <w:tcW w:w="3936" w:type="dxa"/>
          </w:tcPr>
          <w:p>
            <w:pPr>
              <w:jc w:val="center"/>
              <w:tabs>
                <w:tab w:val="left" w:pos="2652"/>
              </w:tabs>
              <w:rPr>
                <w:b/>
                <w:sz w:val="24"/>
                <w:rFonts w:ascii="Times New Roman" w:hAnsi="Times New Roman"/>
              </w:rPr>
            </w:pPr>
          </w:p>
        </w:tc>
        <w:tc>
          <w:tcPr>
            <w:tcW w:w="1275" w:type="dxa"/>
          </w:tcPr>
          <w:p>
            <w:pPr>
              <w:jc w:val="center"/>
              <w:tabs>
                <w:tab w:val="left" w:pos="2652"/>
              </w:tabs>
              <w:rPr>
                <w:b/>
                <w:sz w:val="24"/>
              </w:rPr>
            </w:pPr>
          </w:p>
        </w:tc>
        <w:tc>
          <w:tcPr>
            <w:tcW w:w="4134" w:type="dxa"/>
          </w:tcPr>
          <w:p>
            <w:pPr>
              <w:jc w:val="center"/>
              <w:rPr>
                <w:sz w:val="24"/>
                <w:rFonts w:ascii="Times New Roman" w:hAnsi="Times New Roman"/>
              </w:rPr>
            </w:pPr>
          </w:p>
        </w:tc>
      </w:tr>
    </w:tbl>
    <w:p>
      <w:pPr>
        <w:rPr>
          <w:b/>
          <w:sz w:val="24"/>
        </w:rPr>
      </w:pPr>
    </w:p>
    <w:sectPr>
      <w:pgSz w:w="11907" w:h="16840"/>
      <w:pgMar w:left="1701" w:right="851" w:top="1134" w:bottom="1134" w:header="72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725032"/>
    <w:multiLevelType w:val="hybridMultilevel"/>
    <w:tmpl w:val="8CC4AD6C"/>
    <w:lvl w:ilvl="0" w:tplc="87289C9C">
      <w:start w:val="19"/>
      <w:numFmt w:val="decimal"/>
      <w:lvlText w:val="%1."/>
      <w:lvlJc w:val="left"/>
      <w:pPr>
        <w:ind w:left="1210" w:hanging="360"/>
      </w:pPr>
      <w:rPr>
        <w:rFonts w:ascii="Times New Roman" w:hAnsi="Times New Roman" w:cs="Times New Roman" w:hint="default"/>
        <w:sz w:val="24"/>
        <w:szCs w:val="24"/>
      </w:rPr>
    </w:lvl>
    <w:lvl w:ilvl="1" w:tplc="04190019" w:tentative="1">
      <w:start w:val="1"/>
      <w:numFmt w:val="lowerLetter"/>
      <w:lvlText w:val="%2."/>
      <w:lvlJc w:val="left"/>
      <w:pPr>
        <w:ind w:left="2084" w:hanging="360"/>
      </w:pPr>
    </w:lvl>
    <w:lvl w:ilvl="2" w:tplc="0419001B">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1" w15:restartNumberingAfterBreak="0">
    <w:nsid w:val="25AF7119"/>
    <w:multiLevelType w:val="hybridMultilevel"/>
    <w:tmpl w:val="7F64BCAC"/>
    <w:lvl w:ilvl="0" w:tplc="94423E8A">
      <w:start w:val="1"/>
      <w:numFmt w:val="decimal"/>
      <w:lvlText w:val="%1."/>
      <w:lvlJc w:val="left"/>
      <w:pPr>
        <w:ind w:left="644" w:hanging="360"/>
      </w:pPr>
      <w:rPr>
        <w:rFonts w:hint="default"/>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6B77E2"/>
    <w:multiLevelType w:val="multilevel"/>
    <w:tmpl w:val="268E97A8"/>
    <w:lvl w:ilvl="0">
      <w:start w:val="11"/>
      <w:numFmt w:val="decimal"/>
      <w:lvlText w:val="%1."/>
      <w:lvlJc w:val="left"/>
      <w:pPr>
        <w:ind w:left="480" w:hanging="480"/>
      </w:pPr>
      <w:rPr>
        <w:rFonts w:ascii="Times New Roman" w:hAnsi="Times New Roman" w:cs="Times New Roman" w:hint="default"/>
      </w:rPr>
    </w:lvl>
    <w:lvl w:ilvl="1">
      <w:start w:val="1"/>
      <w:numFmt w:val="decimal"/>
      <w:lvlText w:val="%1.%2."/>
      <w:lvlJc w:val="left"/>
      <w:pPr>
        <w:ind w:left="1615" w:hanging="480"/>
      </w:pPr>
      <w:rPr>
        <w:rFonts w:ascii="Times New Roman" w:hAnsi="Times New Roman" w:cs="Times New Roman" w:hint="default"/>
        <w:b w:val="0"/>
        <w:bCs/>
        <w:sz w:val="24"/>
        <w:szCs w:val="24"/>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 w15:restartNumberingAfterBreak="0">
    <w:nsid w:val="4C971032"/>
    <w:multiLevelType w:val="hybridMultilevel"/>
    <w:tmpl w:val="4222861A"/>
    <w:lvl w:ilvl="0" w:tplc="3C2CB36A">
      <w:start w:val="1"/>
      <w:numFmt w:val="decimal"/>
      <w:lvlText w:val="%1."/>
      <w:lvlJc w:val="left"/>
      <w:pPr>
        <w:ind w:left="644" w:hanging="360"/>
      </w:pPr>
      <w:rPr>
        <w:rFonts w:ascii="Times New Roman" w:eastAsia="Calibri" w:hAnsi="Times New Roman" w:cs="Times New Roman"/>
      </w:rPr>
    </w:lvl>
    <w:lvl w:ilvl="1" w:tplc="04190019">
      <w:start w:val="1"/>
      <w:numFmt w:val="lowerLetter"/>
      <w:lvlText w:val="%2."/>
      <w:lvlJc w:val="left"/>
      <w:pPr>
        <w:ind w:left="1724" w:hanging="360"/>
      </w:pPr>
    </w:lvl>
    <w:lvl w:ilvl="2" w:tplc="0419001B">
      <w:start w:val="1"/>
      <w:numFmt w:val="lowerRoman"/>
      <w:lvlText w:val="%3."/>
      <w:lvlJc w:val="right"/>
      <w:pPr>
        <w:ind w:left="2444" w:hanging="180"/>
      </w:pPr>
    </w:lvl>
    <w:lvl w:ilvl="3" w:tplc="0419000F">
      <w:start w:val="1"/>
      <w:numFmt w:val="decimal"/>
      <w:lvlText w:val="%4."/>
      <w:lvlJc w:val="left"/>
      <w:pPr>
        <w:ind w:left="3164" w:hanging="360"/>
      </w:pPr>
    </w:lvl>
    <w:lvl w:ilvl="4" w:tplc="04190019">
      <w:start w:val="1"/>
      <w:numFmt w:val="lowerLetter"/>
      <w:lvlText w:val="%5."/>
      <w:lvlJc w:val="left"/>
      <w:pPr>
        <w:ind w:left="3884" w:hanging="360"/>
      </w:pPr>
    </w:lvl>
    <w:lvl w:ilvl="5" w:tplc="0419001B">
      <w:start w:val="1"/>
      <w:numFmt w:val="lowerRoman"/>
      <w:lvlText w:val="%6."/>
      <w:lvlJc w:val="right"/>
      <w:pPr>
        <w:ind w:left="4604" w:hanging="180"/>
      </w:pPr>
    </w:lvl>
    <w:lvl w:ilvl="6" w:tplc="0419000F">
      <w:start w:val="1"/>
      <w:numFmt w:val="decimal"/>
      <w:lvlText w:val="%7."/>
      <w:lvlJc w:val="left"/>
      <w:pPr>
        <w:ind w:left="5324" w:hanging="360"/>
      </w:pPr>
    </w:lvl>
    <w:lvl w:ilvl="7" w:tplc="04190019">
      <w:start w:val="1"/>
      <w:numFmt w:val="lowerLetter"/>
      <w:lvlText w:val="%8."/>
      <w:lvlJc w:val="left"/>
      <w:pPr>
        <w:ind w:left="6044" w:hanging="360"/>
      </w:pPr>
    </w:lvl>
    <w:lvl w:ilvl="8" w:tplc="0419001B">
      <w:start w:val="1"/>
      <w:numFmt w:val="lowerRoman"/>
      <w:lvlText w:val="%9."/>
      <w:lvlJc w:val="right"/>
      <w:pPr>
        <w:ind w:left="6764"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compat>
    <w:spaceForUL/>
    <w:balanceSingleByteDoubleByteWidth/>
    <w:doNotLeaveBackslashAlone/>
    <w:ulTrailSpace/>
    <w:doNotExpandShiftReturn/>
    <w:compatSetting w:name="compatibilityMode" w:uri="http://schemas.microsoft.com/office/word" w:val="12"/>
  </w:compat>
  <w:rsids>
    <w:rsidRoot w:val="0039460E"/>
    <w:rsid w:val="000077E8"/>
    <w:rsid w:val="00025731"/>
    <w:rsid w:val="00034FB7"/>
    <w:rsid w:val="0005168D"/>
    <w:rsid w:val="000636C4"/>
    <w:rsid w:val="000648EE"/>
    <w:rsid w:val="00080878"/>
    <w:rsid w:val="0009239D"/>
    <w:rsid w:val="000A08B2"/>
    <w:rsid w:val="000A1196"/>
    <w:rsid w:val="000A4C9B"/>
    <w:rsid w:val="000A64D5"/>
    <w:rsid w:val="000A784C"/>
    <w:rsid w:val="000C3BCE"/>
    <w:rsid w:val="000C5C03"/>
    <w:rsid w:val="000D23F4"/>
    <w:rsid w:val="000F526C"/>
    <w:rsid w:val="00101A2D"/>
    <w:rsid w:val="001045C5"/>
    <w:rsid w:val="00113165"/>
    <w:rsid w:val="00123CA7"/>
    <w:rsid w:val="00126099"/>
    <w:rsid w:val="00130B37"/>
    <w:rsid w:val="0015508A"/>
    <w:rsid w:val="00170A0E"/>
    <w:rsid w:val="001723AD"/>
    <w:rsid w:val="001730D9"/>
    <w:rsid w:val="00192D38"/>
    <w:rsid w:val="00195E1D"/>
    <w:rsid w:val="001A74A5"/>
    <w:rsid w:val="001B49E8"/>
    <w:rsid w:val="001D353C"/>
    <w:rsid w:val="001D38F7"/>
    <w:rsid w:val="001E40CC"/>
    <w:rsid w:val="001F2F58"/>
    <w:rsid w:val="001F4515"/>
    <w:rsid w:val="001F4FAD"/>
    <w:rsid w:val="002056B1"/>
    <w:rsid w:val="00212653"/>
    <w:rsid w:val="00221D5A"/>
    <w:rsid w:val="0023311B"/>
    <w:rsid w:val="00265C7C"/>
    <w:rsid w:val="00295FFD"/>
    <w:rsid w:val="002A1296"/>
    <w:rsid w:val="002A1A63"/>
    <w:rsid w:val="002A6A9F"/>
    <w:rsid w:val="002B5031"/>
    <w:rsid w:val="002B599B"/>
    <w:rsid w:val="002C73E3"/>
    <w:rsid w:val="002C7B5C"/>
    <w:rsid w:val="002D66DF"/>
    <w:rsid w:val="002D7807"/>
    <w:rsid w:val="002E06B3"/>
    <w:rsid w:val="002E2C0F"/>
    <w:rsid w:val="002E71CE"/>
    <w:rsid w:val="002F26AB"/>
    <w:rsid w:val="002F6529"/>
    <w:rsid w:val="00302911"/>
    <w:rsid w:val="00304C22"/>
    <w:rsid w:val="00321B64"/>
    <w:rsid w:val="00322DEE"/>
    <w:rsid w:val="00335754"/>
    <w:rsid w:val="00346A9E"/>
    <w:rsid w:val="003529BC"/>
    <w:rsid w:val="0035456C"/>
    <w:rsid w:val="00370A8B"/>
    <w:rsid w:val="003710E9"/>
    <w:rsid w:val="00373DE4"/>
    <w:rsid w:val="00382AB8"/>
    <w:rsid w:val="003853D9"/>
    <w:rsid w:val="00391EF6"/>
    <w:rsid w:val="0039460E"/>
    <w:rsid w:val="003B239A"/>
    <w:rsid w:val="003B517C"/>
    <w:rsid w:val="003C11C7"/>
    <w:rsid w:val="003C785B"/>
    <w:rsid w:val="003D682A"/>
    <w:rsid w:val="003E41B2"/>
    <w:rsid w:val="003E7AF1"/>
    <w:rsid w:val="003F08C8"/>
    <w:rsid w:val="003F26F1"/>
    <w:rsid w:val="003F2807"/>
    <w:rsid w:val="003F391A"/>
    <w:rsid w:val="003F4D76"/>
    <w:rsid w:val="003F5754"/>
    <w:rsid w:val="003F7005"/>
    <w:rsid w:val="00403DF3"/>
    <w:rsid w:val="00404731"/>
    <w:rsid w:val="00404F49"/>
    <w:rsid w:val="00405515"/>
    <w:rsid w:val="004104F6"/>
    <w:rsid w:val="004111FE"/>
    <w:rsid w:val="00415DE0"/>
    <w:rsid w:val="00421758"/>
    <w:rsid w:val="004273F2"/>
    <w:rsid w:val="0046699D"/>
    <w:rsid w:val="00490D97"/>
    <w:rsid w:val="004A0AAC"/>
    <w:rsid w:val="004B158C"/>
    <w:rsid w:val="004B3DF2"/>
    <w:rsid w:val="004B5A5F"/>
    <w:rsid w:val="004B6377"/>
    <w:rsid w:val="004C129C"/>
    <w:rsid w:val="004C7F8E"/>
    <w:rsid w:val="004E24B2"/>
    <w:rsid w:val="004E2BC8"/>
    <w:rsid w:val="004E5E73"/>
    <w:rsid w:val="004E7534"/>
    <w:rsid w:val="004F0C6D"/>
    <w:rsid w:val="00523236"/>
    <w:rsid w:val="00535471"/>
    <w:rsid w:val="00546823"/>
    <w:rsid w:val="005571A0"/>
    <w:rsid w:val="00562C15"/>
    <w:rsid w:val="005659B0"/>
    <w:rsid w:val="00566AAC"/>
    <w:rsid w:val="005671E3"/>
    <w:rsid w:val="00572D31"/>
    <w:rsid w:val="00580B8B"/>
    <w:rsid w:val="00583D1F"/>
    <w:rsid w:val="005867B8"/>
    <w:rsid w:val="005A123D"/>
    <w:rsid w:val="005A3CFC"/>
    <w:rsid w:val="005A5BCD"/>
    <w:rsid w:val="005A70CE"/>
    <w:rsid w:val="005C3A11"/>
    <w:rsid w:val="005D09C8"/>
    <w:rsid w:val="005D3EF7"/>
    <w:rsid w:val="005E29FD"/>
    <w:rsid w:val="005F1815"/>
    <w:rsid w:val="005F5CEE"/>
    <w:rsid w:val="005F6C86"/>
    <w:rsid w:val="006024AD"/>
    <w:rsid w:val="00607B48"/>
    <w:rsid w:val="006130F2"/>
    <w:rsid w:val="00616E81"/>
    <w:rsid w:val="00620469"/>
    <w:rsid w:val="006238B8"/>
    <w:rsid w:val="00625B5D"/>
    <w:rsid w:val="00651701"/>
    <w:rsid w:val="00653ACB"/>
    <w:rsid w:val="00660D0C"/>
    <w:rsid w:val="00663969"/>
    <w:rsid w:val="0066527E"/>
    <w:rsid w:val="006679D7"/>
    <w:rsid w:val="006808E8"/>
    <w:rsid w:val="0069580A"/>
    <w:rsid w:val="006A2413"/>
    <w:rsid w:val="006B0CD5"/>
    <w:rsid w:val="006B1DA9"/>
    <w:rsid w:val="006B76EB"/>
    <w:rsid w:val="006C4D3E"/>
    <w:rsid w:val="006F42B1"/>
    <w:rsid w:val="006F532B"/>
    <w:rsid w:val="0070291A"/>
    <w:rsid w:val="00705882"/>
    <w:rsid w:val="00715B9A"/>
    <w:rsid w:val="00730492"/>
    <w:rsid w:val="0073728F"/>
    <w:rsid w:val="00752DC4"/>
    <w:rsid w:val="007B2EB7"/>
    <w:rsid w:val="007C4D65"/>
    <w:rsid w:val="007D093F"/>
    <w:rsid w:val="007E66E3"/>
    <w:rsid w:val="007E6887"/>
    <w:rsid w:val="007F3B96"/>
    <w:rsid w:val="00817ED9"/>
    <w:rsid w:val="0082106E"/>
    <w:rsid w:val="00847353"/>
    <w:rsid w:val="0085543B"/>
    <w:rsid w:val="00861DBC"/>
    <w:rsid w:val="00863AB1"/>
    <w:rsid w:val="00882F1C"/>
    <w:rsid w:val="008955E5"/>
    <w:rsid w:val="008A39D6"/>
    <w:rsid w:val="008B1450"/>
    <w:rsid w:val="008E229D"/>
    <w:rsid w:val="008E2B3B"/>
    <w:rsid w:val="008E3757"/>
    <w:rsid w:val="008E542C"/>
    <w:rsid w:val="008F4994"/>
    <w:rsid w:val="008F56C4"/>
    <w:rsid w:val="008F7EF1"/>
    <w:rsid w:val="00907F4C"/>
    <w:rsid w:val="00910124"/>
    <w:rsid w:val="009124C3"/>
    <w:rsid w:val="00913C33"/>
    <w:rsid w:val="00940BC9"/>
    <w:rsid w:val="00946D96"/>
    <w:rsid w:val="00966C5E"/>
    <w:rsid w:val="00966E1D"/>
    <w:rsid w:val="009732EB"/>
    <w:rsid w:val="0098242F"/>
    <w:rsid w:val="009836F7"/>
    <w:rsid w:val="009A0B4B"/>
    <w:rsid w:val="009B2E64"/>
    <w:rsid w:val="009D0FB7"/>
    <w:rsid w:val="009D5B13"/>
    <w:rsid w:val="009E3AB5"/>
    <w:rsid w:val="009E3B73"/>
    <w:rsid w:val="00A01D75"/>
    <w:rsid w:val="00A0358F"/>
    <w:rsid w:val="00A1160C"/>
    <w:rsid w:val="00A20299"/>
    <w:rsid w:val="00A30010"/>
    <w:rsid w:val="00A34269"/>
    <w:rsid w:val="00A422C0"/>
    <w:rsid w:val="00A47932"/>
    <w:rsid w:val="00A52E20"/>
    <w:rsid w:val="00A71A90"/>
    <w:rsid w:val="00A730BB"/>
    <w:rsid w:val="00A738CA"/>
    <w:rsid w:val="00A767C3"/>
    <w:rsid w:val="00A87478"/>
    <w:rsid w:val="00A947CF"/>
    <w:rsid w:val="00AA1431"/>
    <w:rsid w:val="00AC1CD4"/>
    <w:rsid w:val="00AC61F9"/>
    <w:rsid w:val="00AD518C"/>
    <w:rsid w:val="00AD670D"/>
    <w:rsid w:val="00AE4113"/>
    <w:rsid w:val="00B028A9"/>
    <w:rsid w:val="00B051B7"/>
    <w:rsid w:val="00B12FA6"/>
    <w:rsid w:val="00B20439"/>
    <w:rsid w:val="00B2351A"/>
    <w:rsid w:val="00B362F3"/>
    <w:rsid w:val="00B438B2"/>
    <w:rsid w:val="00B45230"/>
    <w:rsid w:val="00B46A03"/>
    <w:rsid w:val="00B50A9A"/>
    <w:rsid w:val="00B6554E"/>
    <w:rsid w:val="00B658D5"/>
    <w:rsid w:val="00B67D3B"/>
    <w:rsid w:val="00B67F1B"/>
    <w:rsid w:val="00B7063D"/>
    <w:rsid w:val="00B740DB"/>
    <w:rsid w:val="00B74847"/>
    <w:rsid w:val="00B760A5"/>
    <w:rsid w:val="00B8084D"/>
    <w:rsid w:val="00B84FBF"/>
    <w:rsid w:val="00B87069"/>
    <w:rsid w:val="00BA0069"/>
    <w:rsid w:val="00BA2206"/>
    <w:rsid w:val="00BA2998"/>
    <w:rsid w:val="00BB51A7"/>
    <w:rsid w:val="00BB6EF1"/>
    <w:rsid w:val="00BE260C"/>
    <w:rsid w:val="00BE473E"/>
    <w:rsid w:val="00C04ED6"/>
    <w:rsid w:val="00C12627"/>
    <w:rsid w:val="00C13CBD"/>
    <w:rsid w:val="00C17416"/>
    <w:rsid w:val="00C20567"/>
    <w:rsid w:val="00C25A8E"/>
    <w:rsid w:val="00C30CA3"/>
    <w:rsid w:val="00C35585"/>
    <w:rsid w:val="00C376D7"/>
    <w:rsid w:val="00C412BE"/>
    <w:rsid w:val="00C7004D"/>
    <w:rsid w:val="00C77ADD"/>
    <w:rsid w:val="00C83FB4"/>
    <w:rsid w:val="00C842CE"/>
    <w:rsid w:val="00C94BF8"/>
    <w:rsid w:val="00CA0895"/>
    <w:rsid w:val="00CA42A8"/>
    <w:rsid w:val="00CA4706"/>
    <w:rsid w:val="00CA4FFE"/>
    <w:rsid w:val="00CB705F"/>
    <w:rsid w:val="00CD3083"/>
    <w:rsid w:val="00CD3F37"/>
    <w:rsid w:val="00CD6FE2"/>
    <w:rsid w:val="00CE0E41"/>
    <w:rsid w:val="00CE1A8E"/>
    <w:rsid w:val="00CE1FE8"/>
    <w:rsid w:val="00CE78DB"/>
    <w:rsid w:val="00CF03D5"/>
    <w:rsid w:val="00CF2B33"/>
    <w:rsid w:val="00CF6B41"/>
    <w:rsid w:val="00D03D78"/>
    <w:rsid w:val="00D17D88"/>
    <w:rsid w:val="00D3349F"/>
    <w:rsid w:val="00D56E5E"/>
    <w:rsid w:val="00D6031E"/>
    <w:rsid w:val="00D62268"/>
    <w:rsid w:val="00D62680"/>
    <w:rsid w:val="00D758AD"/>
    <w:rsid w:val="00D8519B"/>
    <w:rsid w:val="00D910FD"/>
    <w:rsid w:val="00D91A25"/>
    <w:rsid w:val="00DB0027"/>
    <w:rsid w:val="00DB0307"/>
    <w:rsid w:val="00DC0A48"/>
    <w:rsid w:val="00DC4072"/>
    <w:rsid w:val="00DE4C53"/>
    <w:rsid w:val="00DE7EC8"/>
    <w:rsid w:val="00DF6DCA"/>
    <w:rsid w:val="00E00F95"/>
    <w:rsid w:val="00E02BF4"/>
    <w:rsid w:val="00E17708"/>
    <w:rsid w:val="00E259C0"/>
    <w:rsid w:val="00E31AA7"/>
    <w:rsid w:val="00E36E4D"/>
    <w:rsid w:val="00E579FE"/>
    <w:rsid w:val="00E75A67"/>
    <w:rsid w:val="00E7796C"/>
    <w:rsid w:val="00E837FE"/>
    <w:rsid w:val="00E87A98"/>
    <w:rsid w:val="00E95EA8"/>
    <w:rsid w:val="00EA694D"/>
    <w:rsid w:val="00EB132B"/>
    <w:rsid w:val="00EC356E"/>
    <w:rsid w:val="00EC549E"/>
    <w:rsid w:val="00EC651E"/>
    <w:rsid w:val="00EC693D"/>
    <w:rsid w:val="00ED72BD"/>
    <w:rsid w:val="00EE573F"/>
    <w:rsid w:val="00F04B1F"/>
    <w:rsid w:val="00F053DD"/>
    <w:rsid w:val="00F1036E"/>
    <w:rsid w:val="00F10C14"/>
    <w:rsid w:val="00F27939"/>
    <w:rsid w:val="00F3127C"/>
    <w:rsid w:val="00F3234F"/>
    <w:rsid w:val="00F32B49"/>
    <w:rsid w:val="00F3516D"/>
    <w:rsid w:val="00F37427"/>
    <w:rsid w:val="00F46BE2"/>
    <w:rsid w:val="00F508E1"/>
    <w:rsid w:val="00F521C2"/>
    <w:rsid w:val="00F52DBB"/>
    <w:rsid w:val="00F64F1E"/>
    <w:rsid w:val="00F735D2"/>
    <w:rsid w:val="00F95B51"/>
    <w:rsid w:val="00FD5BDD"/>
    <w:rsid w:val="00FE62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06674D4-5BFC-482A-87E9-CD4429419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3CFC"/>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730492"/>
    <w:rPr>
      <w:rFonts w:ascii="Tahoma" w:hAnsi="Tahoma" w:cs="Tahoma"/>
      <w:sz w:val="16"/>
      <w:szCs w:val="16"/>
    </w:rPr>
  </w:style>
  <w:style w:type="character" w:customStyle="1" w:styleId="a4">
    <w:name w:val="Текст выноски Знак"/>
    <w:basedOn w:val="a0"/>
    <w:link w:val="a3"/>
    <w:rsid w:val="00730492"/>
    <w:rPr>
      <w:rFonts w:ascii="Tahoma" w:hAnsi="Tahoma" w:cs="Tahoma"/>
      <w:sz w:val="16"/>
      <w:szCs w:val="16"/>
    </w:rPr>
  </w:style>
  <w:style w:type="paragraph" w:styleId="a5">
    <w:name w:val="List Paragraph"/>
    <w:aliases w:val="List Paragraph1,Recommendation,List Paragraph11,Bulleted List Paragraph,Bullets,ADB List Paragraph,Colorful List - Accent 11,Paragraph,CPS,List_Paragraph,Multilevel para_II,data item,Bullet list,Numbered Paragraph,# pharagraph,Dot pt"/>
    <w:basedOn w:val="a"/>
    <w:link w:val="a6"/>
    <w:uiPriority w:val="34"/>
    <w:qFormat/>
    <w:rsid w:val="00373DE4"/>
    <w:pPr>
      <w:ind w:left="720"/>
      <w:contextualSpacing/>
    </w:pPr>
  </w:style>
  <w:style w:type="paragraph" w:styleId="a7">
    <w:name w:val="No Spacing"/>
    <w:uiPriority w:val="1"/>
    <w:qFormat/>
    <w:rsid w:val="00D62680"/>
    <w:rPr>
      <w:sz w:val="24"/>
      <w:szCs w:val="24"/>
    </w:rPr>
  </w:style>
  <w:style w:type="table" w:styleId="a8">
    <w:name w:val="Table Grid"/>
    <w:basedOn w:val="a1"/>
    <w:uiPriority w:val="39"/>
    <w:rsid w:val="00C77AD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Абзац списка Знак"/>
    <w:aliases w:val="List Paragraph1 Знак,Recommendation Знак,List Paragraph11 Знак,Bulleted List Paragraph Знак,Bullets Знак,ADB List Paragraph Знак,Colorful List - Accent 11 Знак,Paragraph Знак,CPS Знак,List_Paragraph Знак,Multilevel para_II Знак"/>
    <w:link w:val="a5"/>
    <w:uiPriority w:val="34"/>
    <w:qFormat/>
    <w:rsid w:val="00C77A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0527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C84C0-5F35-44A0-9CA4-160E248D9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3</Pages>
  <Words>900</Words>
  <Characters>5130</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Д О Г О В О Р</vt:lpstr>
    </vt:vector>
  </TitlesOfParts>
  <Company>RJUM</Company>
  <LinksUpToDate>false</LinksUpToDate>
  <CharactersWithSpaces>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dc:title>
  <dc:creator>Неизвестный</dc:creator>
  <cp:lastModifiedBy>User</cp:lastModifiedBy>
  <cp:revision>84</cp:revision>
  <cp:lastPrinted>2019-01-17T06:57:00Z</cp:lastPrinted>
  <dcterms:created xsi:type="dcterms:W3CDTF">2020-10-20T11:45:00Z</dcterms:created>
  <dcterms:modified xsi:type="dcterms:W3CDTF">2021-12-07T07:23:00Z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date"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Temir yo‘l</w:name>
    <w:value w:hidden="true">
      <w:unit w:active="false"/>
    </w:value>
  </w:element>
  <w:element w:id="6" w:kind="variable" w:selector="check" w:type="string" w:valueMode="normal" w:required="false" w:groupID="5">
    <w:identifier xml:space="preserve">ID6</w:identifier>
    <w:name xml:space="preserve">Temur yo‘l tashkilotining nomi va tashkiliy huquqiy shakli</w:name>
    <w:value w:hidden="false">
      <w:unit w:active="false"/>
    </w:value>
  </w:element>
  <w:element w:id="7" w:kind="variable" w:selector="check" w:type="string" w:valueMode="normal" w:required="false" w:groupID="5">
    <w:identifier xml:space="preserve">ID7</w:identifier>
    <w:name xml:space="preserve">Temur yo‘l tashkiloti nomidan ish olib boruvchi vakilning lavozimi va F.I.O.si</w:name>
    <w:value w:hidden="false">
      <w:unit w:active="false"/>
    </w:value>
  </w:element>
  <w:element w:id="8" w:kind="variable" w:selector="check" w:type="date" w:valueMode="normal" w:required="false" w:groupID="5">
    <w:identifier xml:space="preserve">ID8</w:identifier>
    <w:name xml:space="preserve">Temur yo‘l tashkiloti nomidan ish olib boruvchi vakilga ishonchnoma berilgan sana</w:name>
    <w:value w:hidden="false">
      <w:unit w:active="false"/>
    </w:value>
  </w:element>
  <w:element w:id="9" w:kind="variable" w:selector="check" w:type="string" w:valueMode="normal" w:required="false" w:groupID="5">
    <w:identifier xml:space="preserve">ID9</w:identifier>
    <w:name xml:space="preserve">Temur yo‘l tashkiloti nomidan ish olib boruvchi vakilga berilgan ishonchnoma raqami</w:name>
    <w:value w:hidden="false">
      <w:unit w:active="false"/>
    </w:value>
  </w:element>
  <w:element w:id="10" w:kind="variable" w:selector="check" w:type="string" w:valueMode="normal" w:required="false" w:groupID="5">
    <w:identifier xml:space="preserve">ID10</w:identifier>
    <w:name xml:space="preserve">Temur yo‘l  tashkilotining manzili</w:name>
    <w:value w:hidden="false">
      <w:unit w:active="false"/>
    </w:value>
  </w:element>
  <w:element w:id="11" w:kind="variable" w:selector="check" w:type="string" w:valueMode="normal" w:required="false" w:groupID="5">
    <w:identifier xml:space="preserve">ID11</w:identifier>
    <w:name xml:space="preserve">Temur yo‘l tashkilotining hisob raqam</w:name>
    <w:value w:hidden="false">
      <w:unit w:active="false"/>
    </w:value>
  </w:element>
  <w:element w:id="12" w:kind="variable" w:selector="check" w:type="string" w:valueMode="normal" w:required="false" w:groupID="5">
    <w:identifier xml:space="preserve">ID12</w:identifier>
    <w:name xml:space="preserve">Temur yo‘l tashkilotining STIR raqami</w:name>
    <w:value w:hidden="false">
      <w:unit w:active="false"/>
    </w:value>
  </w:element>
  <w:element w:id="13" w:kind="variable" w:selector="check" w:type="string" w:valueMode="normal" w:required="false" w:groupID="5">
    <w:identifier xml:space="preserve">ID13</w:identifier>
    <w:name xml:space="preserve">Temur yo‘l tashkilotining telefon raqami</w:name>
    <w:value w:hidden="false">
      <w:unit w:active="false"/>
    </w:value>
  </w:element>
  <w:element w:id="14" w:kind="variable" w:selector="check" w:type="string" w:valueMode="normal" w:required="false" w:groupID="5">
    <w:identifier xml:space="preserve">ID14</w:identifier>
    <w:name xml:space="preserve">Temur yo‘l tashkilotining elektron pochtasi</w:name>
    <w:value w:hidden="false">
      <w:unit w:active="false"/>
    </w:value>
  </w:element>
  <w:element w:id="15" w:kind="category" w:selector="check" w:type="string" w:valueMode="normal" w:required="false">
    <w:identifier xml:space="preserve">ID15</w:identifier>
    <w:name xml:space="preserve">Mijoz</w:name>
    <w:value w:hidden="true">
      <w:unit w:active="false"/>
    </w:value>
  </w:element>
  <w:element w:id="16" w:kind="variable" w:selector="check" w:type="string" w:valueMode="normal" w:required="false" w:groupID="15">
    <w:identifier xml:space="preserve">ID16</w:identifier>
    <w:name xml:space="preserve">Mijoz tashkilotning nomi va tashkiliy huquqiy shakli</w:name>
    <w:value w:hidden="false">
      <w:unit w:active="false"/>
    </w:value>
  </w:element>
  <w:element w:id="17" w:kind="variable" w:selector="check" w:type="string" w:valueMode="normal" w:required="false" w:groupID="15">
    <w:identifier xml:space="preserve">ID17</w:identifier>
    <w:name xml:space="preserve">Mijoz tashkilot vakilining lavozimi va F.I.O.si</w:name>
    <w:value w:hidden="false">
      <w:unit w:active="false"/>
    </w:value>
  </w:element>
  <w:element w:id="18" w:kind="variable" w:selector="check" w:type="string" w:valueMode="normal" w:required="false" w:groupID="15">
    <w:identifier xml:space="preserve">ID18</w:identifier>
    <w:name xml:space="preserve">Mijoz tashkilotning manzili</w:name>
    <w:value w:hidden="false">
      <w:unit w:active="false"/>
    </w:value>
  </w:element>
  <w:element w:id="19" w:kind="variable" w:selector="check" w:type="string" w:valueMode="normal" w:required="false" w:groupID="15">
    <w:identifier xml:space="preserve">ID19</w:identifier>
    <w:name xml:space="preserve">Mijoz tashkilotning hisob raqami</w:name>
    <w:value w:hidden="false">
      <w:unit w:active="false"/>
    </w:value>
  </w:element>
  <w:element w:id="20" w:kind="variable" w:selector="check" w:type="string" w:valueMode="normal" w:required="false" w:groupID="15">
    <w:identifier xml:space="preserve">ID20</w:identifier>
    <w:name xml:space="preserve">Mijoz tashkilotning STIR raqami</w:name>
    <w:value w:hidden="false">
      <w:unit w:active="false"/>
    </w:value>
  </w:element>
  <w:element w:id="21" w:kind="variable" w:selector="check" w:type="string" w:valueMode="normal" w:required="false" w:groupID="15">
    <w:identifier xml:space="preserve">ID21</w:identifier>
    <w:name xml:space="preserve">Mijoz tashkilotning telefon raqami</w:name>
    <w:value w:hidden="false">
      <w:unit w:active="false"/>
    </w:value>
  </w:element>
  <w:element w:id="22" w:kind="variable" w:selector="check" w:type="string" w:valueMode="normal" w:required="false" w:groupID="15">
    <w:identifier xml:space="preserve">ID22</w:identifier>
    <w:name xml:space="preserve">Mijoz tashkilotning elektron pochtasi</w:name>
    <w:value w:hidden="false">
      <w:unit w:active="false"/>
    </w:value>
  </w:element>
  <w:element w:id="23" w:kind="category" w:selector="check" w:type="string" w:valueMode="normal" w:required="false">
    <w:identifier xml:space="preserve">ID23</w:identifier>
    <w:name xml:space="preserve">Shartnoma mazmuni</w:name>
    <w:value w:hidden="true">
      <w:unit w:active="false"/>
    </w:value>
  </w:element>
  <w:element w:id="24" w:kind="variable" w:selector="check" w:type="string" w:valueMode="normal" w:required="false" w:groupID="23">
    <w:identifier xml:space="preserve">ID24</w:identifier>
    <w:name xml:space="preserve">Ko‘rsatilgan xizmatlar uchun to‘lovlar kechikib amalga oshirilgan har bir kun uchun to‘lanishi lozim bo‘lgan penya miqdori</w:name>
    <w:comment xml:space="preserve">Izoh: Qonunchilikka ko‘ra bir kunlik penya miqdori kechiktirilgan summaning 0.4 foizidan oshmasligi lozim</w:comment>
    <w:value w:hidden="false">
      <w:unit w:active="false"/>
    </w:value>
  </w:element>
  <w:element w:id="25" w:kind="variable" w:selector="check" w:type="string" w:valueMode="normal" w:required="false" w:groupID="23">
    <w:identifier xml:space="preserve">ID25</w:identifier>
    <w:name xml:space="preserve">Jarima (penya)ni xisoblash boshlanadaigan sana</w:name>
    <w:comment xml:space="preserve">Izoh: Masalan 30 kun, 60 kun, 90 kun</w:comment>
    <w:value w:hidden="false">
      <w:unit w:active="false"/>
    </w:value>
  </w:element>
</w:structure>
</file>