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Temir yoʻlda tashish jarayonida yuzaga keladigan qoʻshimcha </w:t>
      </w:r>
    </w:p>
    <w:p>
      <w:pPr>
        <w:jc w:val="center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xizmatlar koʻrsatish boʻyicha</w:t>
      </w:r>
    </w:p>
    <w:p>
      <w:pPr>
        <w:pStyle w:val="a3"/>
        <w:jc w:val="center"/>
        <w:ind w:firstLine="425"/>
        <w:spacing w:line="276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SHARTNOMA</w:t>
      </w:r>
    </w:p>
    <w:p>
      <w:pPr>
        <w:pStyle w:val="a3"/>
        <w:jc w:val="both"/>
        <w:ind w:firstLine="425"/>
        <w:spacing w:line="276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15"/>
        <w:gridCol w:w="3115"/>
        <w:gridCol w:w="3115"/>
      </w:tblGrid>
      <w:tr>
        <w:tc>
          <w:tcPr>
            <w:tcW w:w="3115" w:type="dxa"/>
            <w:shd w:fill="auto"/>
          </w:tcPr>
          <w:p>
            <w:pPr>
              <w:jc w:val="center"/>
              <w:ind w:firstLine="425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  <w:spacing w:val="0"/>
                <w:position w:val="-1"/>
              </w:rPr>
              <w:fldChar w:fldCharType="begin"/>
              <w:instrText xml:space="preserve">X {"Y":2}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  <w:spacing w:val="0"/>
                <w:position w:val="-1"/>
              </w:rPr>
              <w:t xml:space="preserve">Shartnoma tuzilgan joy</w:t>
              <w:fldChar w:fldCharType="end"/>
            </w:r>
          </w:p>
        </w:tc>
        <w:tc>
          <w:tcPr>
            <w:tcW w:w="3115" w:type="dxa"/>
            <w:shd w:fill="auto"/>
          </w:tcPr>
          <w:p>
            <w:pPr>
              <w:jc w:val="center"/>
              <w:ind w:firstLine="425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  <w:spacing w:val="0"/>
                <w:position w:val="-1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  <w:spacing w:val="0"/>
                <w:position w:val="-1"/>
              </w:rPr>
              <w:t xml:space="preserve">Shartnoma raqami</w:t>
              <w:fldChar w:fldCharType="end"/>
            </w:r>
            <w:r>
              <w:rPr>
                <w:sz w:val="24"/>
                <w:rFonts w:ascii="Times New Roman" w:hAnsi="Times New Roman"/>
                <w:spacing w:val="0"/>
                <w:position w:val="-1"/>
              </w:rPr>
              <w:t>-</w:t>
            </w:r>
            <w:r>
              <w:rPr>
                <w:sz w:val="24"/>
                <w:rFonts w:ascii="Times New Roman" w:hAnsi="Times New Roman"/>
                <w:position w:val="-1"/>
              </w:rPr>
              <w:t>s</w:t>
            </w:r>
            <w:r>
              <w:rPr>
                <w:sz w:val="24"/>
                <w:rFonts w:ascii="Times New Roman" w:hAnsi="Times New Roman"/>
                <w:spacing w:val="0"/>
                <w:position w:val="-1"/>
              </w:rPr>
              <w:t>o</w:t>
            </w:r>
            <w:r>
              <w:rPr>
                <w:sz w:val="24"/>
                <w:rFonts w:ascii="Times New Roman" w:hAnsi="Times New Roman"/>
                <w:position w:val="-1"/>
              </w:rPr>
              <w:t>n</w:t>
            </w:r>
          </w:p>
        </w:tc>
        <w:tc>
          <w:tcPr>
            <w:tcW w:w="3115" w:type="dxa"/>
            <w:shd w:fill="auto"/>
          </w:tcPr>
          <w:p>
            <w:pPr>
              <w:jc w:val="center"/>
              <w:ind w:firstLine="425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  <w:spacing w:val="0"/>
                <w:position w:val="-1"/>
              </w:rPr>
              <w:fldChar w:fldCharType="begin"/>
              <w:instrText xml:space="preserve">X {"Y":4}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  <w:spacing w:val="0"/>
                <w:position w:val="-1"/>
              </w:rPr>
              <w:t xml:space="preserve">Shartnoma tuzilgan sana</w:t>
              <w:fldChar w:fldCharType="end"/>
            </w:r>
          </w:p>
        </w:tc>
      </w:tr>
    </w:tbl>
    <w:p>
      <w:pPr>
        <w:pStyle w:val="a3"/>
        <w:jc w:val="both"/>
        <w:spacing w:line="276" w:lineRule="auto"/>
        <w:rPr>
          <w:sz w:val="24"/>
          <w:rFonts w:ascii="Times New Roman" w:hAnsi="Times New Roman"/>
        </w:rPr>
      </w:pPr>
    </w:p>
    <w:p>
      <w:pPr>
        <w:pStyle w:val="a3"/>
        <w:jc w:val="both"/>
        <w:ind w:firstLine="425"/>
        <w:spacing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  <w:spacing w:val="0"/>
          <w:position w:val="-1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  <w:rFonts w:ascii="Times New Roman" w:hAnsi="Times New Roman"/>
          <w:spacing w:val="0"/>
          <w:position w:val="-1"/>
        </w:rPr>
        <w:t xml:space="preserve">Yuk tashuvchi tashkilot nomi, tashkiliy huquqiy shakli</w:t>
        <w:fldChar w:fldCharType="end"/>
      </w:r>
      <w:r>
        <w:rPr>
          <w:sz w:val="24"/>
          <w:rFonts w:ascii="Times New Roman" w:hAnsi="Times New Roman"/>
        </w:rPr>
        <w:t xml:space="preserve"> (keyinchalik matnda “Yuk tashuvchi” deb yuritiladi) nomidan </w:t>
      </w:r>
      <w:r>
        <w:rPr>
          <w:vanish w:val="false"/>
          <w:sz w:val="24"/>
          <w:rFonts w:ascii="Times New Roman" w:hAnsi="Times New Roman"/>
          <w:spacing w:val="0"/>
          <w:position w:val="-1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  <w:rFonts w:ascii="Times New Roman" w:hAnsi="Times New Roman"/>
          <w:spacing w:val="0"/>
          <w:position w:val="-1"/>
        </w:rPr>
        <w:t xml:space="preserve">Yuk tashuvchi tashkilot vakiliga shartnoma tuzish huquqini beruvchi hujjat</w:t>
        <w:fldChar w:fldCharType="end"/>
      </w:r>
      <w:r>
        <w:rPr>
          <w:sz w:val="24"/>
          <w:rFonts w:ascii="Times New Roman" w:hAnsi="Times New Roman"/>
        </w:rPr>
        <w:t xml:space="preserve"> asosida faoliyat yurituvchi </w:t>
      </w:r>
      <w:r>
        <w:rPr>
          <w:vanish w:val="false"/>
          <w:sz w:val="24"/>
          <w:rFonts w:ascii="Times New Roman" w:hAnsi="Times New Roman"/>
          <w:spacing w:val="0"/>
          <w:position w:val="-1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  <w:spacing w:val="0"/>
          <w:position w:val="-1"/>
        </w:rPr>
        <w:t xml:space="preserve">Yuk tashuvchi tashkilot nomidan faoliyat olib boruvchi shaxs lavozimi va F.I.O.si</w:t>
        <w:fldChar w:fldCharType="end"/>
      </w:r>
      <w:r>
        <w:rPr>
          <w:sz w:val="24"/>
          <w:rFonts w:ascii="Times New Roman" w:hAnsi="Times New Roman"/>
        </w:rPr>
        <w:t xml:space="preserve"> bir tomondan va </w:t>
      </w:r>
      <w:r>
        <w:rPr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sz w:val="24"/>
          <w:rFonts w:ascii="Times New Roman" w:hAnsi="Times New Roman"/>
        </w:rPr>
        <w:t xml:space="preserve">Mijoz yuridik shaxsning nomi, tashkiliy huquqiy shakli</w:t>
        <w:fldChar w:fldCharType="end"/>
      </w:r>
      <w:r>
        <w:rPr>
          <w:sz w:val="24"/>
          <w:rFonts w:ascii="Times New Roman" w:hAnsi="Times New Roman"/>
        </w:rPr>
        <w:t xml:space="preserve"> (keyinchalik matnda “Mijoz” deb yuritiladi) nomidan </w:t>
      </w:r>
      <w:r>
        <w:rPr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sz w:val="24"/>
          <w:rFonts w:ascii="Times New Roman" w:hAnsi="Times New Roman"/>
        </w:rPr>
        <w:t xml:space="preserve">Mijoz nomidan shartnoma tuzish bo‘yicha vakilga shartnoma tuzish huquqini beruvchi hujjat</w:t>
        <w:fldChar w:fldCharType="end"/>
      </w:r>
      <w:r>
        <w:rPr>
          <w:sz w:val="24"/>
          <w:rFonts w:ascii="Times New Roman" w:hAnsi="Times New Roman"/>
        </w:rPr>
        <w:t xml:space="preserve">  asosida faoliyat yurituvchi </w:t>
      </w:r>
      <w:r>
        <w:rPr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sz w:val="24"/>
          <w:rFonts w:ascii="Times New Roman" w:hAnsi="Times New Roman"/>
        </w:rPr>
        <w:t xml:space="preserve">Mijoz nomidan ish olib boruvchi shaxs lavozimi, F.I.O.si</w:t>
        <w:fldChar w:fldCharType="end"/>
      </w:r>
      <w:r>
        <w:rPr>
          <w:sz w:val="24"/>
          <w:rFonts w:ascii="Times New Roman" w:hAnsi="Times New Roman"/>
        </w:rPr>
        <w:t xml:space="preserve">ikkinchi tomondan mazkur shartnomani quyidagilar haqida tuzdik.</w:t>
      </w:r>
    </w:p>
    <w:p>
      <w:pPr>
        <w:pStyle w:val="a3"/>
        <w:numPr>
          <w:numId w:val="2"/>
          <w:ilvl w:val="0"/>
        </w:numPr>
        <w:jc w:val="center"/>
        <w:ind w:left="1276" w:hanging="851"/>
        <w:spacing w:line="276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Shartnomaning predmeti.</w:t>
      </w:r>
    </w:p>
    <w:p>
      <w:pPr>
        <w:pStyle w:val="a3"/>
        <w:jc w:val="both"/>
        <w:ind w:firstLine="425"/>
        <w:spacing w:line="276" w:lineRule="auto"/>
        <w:tabs>
          <w:tab w:val="left" w:pos="3135"/>
        </w:tabs>
        <w:rPr>
          <w:b/>
          <w:sz w:val="24"/>
          <w:rFonts w:ascii="Times New Roman" w:hAnsi="Times New Roman"/>
        </w:rPr>
      </w:pPr>
    </w:p>
    <w:p>
      <w:pPr>
        <w:pStyle w:val="a3"/>
        <w:jc w:val="both"/>
        <w:ind w:firstLine="425"/>
        <w:spacing w:line="276" w:lineRule="auto"/>
        <w:tabs>
          <w:tab w:val="left" w:pos="3135"/>
        </w:tabs>
        <w:rPr>
          <w:b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1.1. Ushbu shartnoma temir yoʻlda tashish jarayonida yuzaga keladigan qoʻshimcha xizmatlar koʻrsatish uchun shartnoma tarifini qoʻllash tartibini belgilaydi.</w:t>
      </w:r>
    </w:p>
    <w:p>
      <w:pPr>
        <w:pStyle w:val="a3"/>
        <w:jc w:val="both"/>
        <w:ind w:firstLine="425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1.2. Stansiyalarda koʻrsatilgan qoʻshimcha xizmatlar uchun toʻlov miqdori ushbu shartnomaga ilova qilingan, koʻrsatiladigan xizmatlar roʻyxati asosida xisob-kitob qilish tartibi bilan aniqlanadi.</w:t>
      </w:r>
    </w:p>
    <w:p>
      <w:pPr>
        <w:numPr>
          <w:numId w:val="2"/>
          <w:ilvl w:val="0"/>
        </w:numPr>
        <w:jc w:val="center"/>
        <w:spacing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Tomonlarning majburiyatlari va javobgarligi.</w:t>
      </w:r>
    </w:p>
    <w:p>
      <w:pPr>
        <w:jc w:val="both"/>
        <w:ind w:firstLine="425"/>
        <w:spacing w:after="0"/>
        <w:rPr>
          <w:b/>
          <w:sz w:val="24"/>
          <w:rFonts w:ascii="Times New Roman" w:hAnsi="Times New Roman"/>
        </w:rPr>
      </w:pPr>
    </w:p>
    <w:p>
      <w:pPr>
        <w:jc w:val="both"/>
        <w:ind w:firstLine="425"/>
        <w:spacing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“Mijoz” majburiyati:</w:t>
      </w:r>
    </w:p>
    <w:p>
      <w:pPr>
        <w:pStyle w:val="a3"/>
        <w:jc w:val="both"/>
        <w:ind w:firstLine="425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2.1. Mijoz koʻrsatiladigan qoʻshimcha temir yoʻl xizmatlari uchun oldindan </w:t>
      </w:r>
      <w:r>
        <w:rPr>
          <w:sz w:val="24"/>
          <w:rFonts w:ascii="Times New Roman" w:hAnsi="Times New Roman"/>
        </w:rPr>
        <w:fldChar w:fldCharType="begin"/>
        <w:instrText xml:space="preserve">X {"Y":25}</w:instrText>
        <w:fldChar w:fldCharType="separate"/>
      </w:r>
      <w:r>
        <w:rPr>
          <w:sz w:val="24"/>
          <w:rFonts w:ascii="Times New Roman" w:hAnsi="Times New Roman"/>
        </w:rPr>
        <w:t xml:space="preserve">Ko‘rsatiladigan xizmatlar uchun mijoz tomonidan amalga oshiriladigan oldindan to‘lov miqdori (foizda)</w:t>
        <w:fldChar w:fldCharType="end"/>
      </w:r>
      <w:r>
        <w:rPr>
          <w:sz w:val="24"/>
          <w:rFonts w:ascii="Times New Roman" w:hAnsi="Times New Roman"/>
        </w:rPr>
        <w:t xml:space="preserve">miqdorda toʻlovni amalga oshiradi.</w:t>
      </w:r>
    </w:p>
    <w:p>
      <w:pPr>
        <w:pStyle w:val="a3"/>
        <w:jc w:val="both"/>
        <w:ind w:firstLine="425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2.2. Koʻrsatiladigan qoʻshimcha temir yoʻl xizmatlari uchun oldindan toʻlov summasi, toʻlov hisobi (vipiska)ni rasmiylashtirish vaqtida yuk tashish va roʻyxatda keltirilgan qoʻshimcha xizmatlarni hisobga olgan holda aniqlanadi.</w:t>
      </w:r>
    </w:p>
    <w:p>
      <w:pPr>
        <w:pStyle w:val="a3"/>
        <w:jc w:val="both"/>
        <w:ind w:firstLine="425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Toʻlovlarni yigʻish ish jarayonida xaqiqiy koʻrsatilgan qoʻshimcha xizmatlar uchun temir yoʻl stansiyalarida rasmiylashtirilgan hisob xujjatlariga asosan amalga oshiriladi.</w:t>
      </w:r>
    </w:p>
    <w:p>
      <w:pPr>
        <w:pStyle w:val="a3"/>
        <w:jc w:val="both"/>
        <w:ind w:firstLine="425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2.3. Oldindan toʻlov </w:t>
      </w:r>
      <w:r>
        <w:rPr>
          <w:sz w:val="24"/>
          <w:rFonts w:ascii="Times New Roman" w:hAnsi="Times New Roman"/>
        </w:rPr>
        <w:fldChar w:fldCharType="begin"/>
        <w:instrText xml:space="preserve">X {"Y":26}</w:instrText>
        <w:fldChar w:fldCharType="separate"/>
      </w:r>
      <w:r>
        <w:rPr>
          <w:sz w:val="24"/>
          <w:rFonts w:ascii="Times New Roman" w:hAnsi="Times New Roman"/>
        </w:rPr>
        <w:t xml:space="preserve">Oldindan to‘lovni amalga oshirish usuli (naqd pul, pul ko‘chirish, va boshqa turdagi to‘lov turi)</w:t>
        <w:fldChar w:fldCharType="end"/>
      </w:r>
      <w:r>
        <w:rPr>
          <w:sz w:val="24"/>
          <w:rFonts w:ascii="Times New Roman" w:hAnsi="Times New Roman"/>
        </w:rPr>
        <w:t xml:space="preserve"> koʻrinishida yuk tashuvchining </w:t>
      </w:r>
      <w:r>
        <w:rPr>
          <w:sz w:val="24"/>
          <w:rFonts w:ascii="Times New Roman" w:hAnsi="Times New Roman"/>
        </w:rPr>
        <w:fldChar w:fldCharType="begin"/>
        <w:instrText xml:space="preserve">X {"Y":27}</w:instrText>
        <w:fldChar w:fldCharType="separate"/>
      </w:r>
      <w:r>
        <w:rPr>
          <w:sz w:val="24"/>
          <w:rFonts w:ascii="Times New Roman" w:hAnsi="Times New Roman"/>
        </w:rPr>
        <w:t xml:space="preserve">To‘lovni amalga oshirish manzili hisob raqam va rekvizitlar</w:t>
        <w:fldChar w:fldCharType="end"/>
      </w:r>
      <w:r>
        <w:rPr>
          <w:sz w:val="24"/>
          <w:rFonts w:ascii="Times New Roman" w:hAnsi="Times New Roman"/>
        </w:rPr>
        <w:t xml:space="preserve">ga amalga oshiradi.</w:t>
      </w:r>
    </w:p>
    <w:p>
      <w:pPr>
        <w:pStyle w:val="a3"/>
        <w:jc w:val="both"/>
        <w:ind w:firstLine="425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2.4. Belgilangan toʻlov summasini mijoz tomonidan oʻz vaqtida hisob-kitob qilmasdan oʻtkazib yuborilganligi natijasida paydo boʻlgan muddati oʻtgan debitor qarzning har bir toʻlanmagan kuni uchun qonunda belgilanganidek 0,4% miqdorida, asosiy qarzning 50% miqdoridan oshmagan xolda penya xisoblanadi. Penya hisoblash Oʻzbekiston Respublikasi qonunchiliga muvofiq amalga oshiriladi. Debitor qarzdorlikni bartaraf etish ushbu kelishuvning 2.4. bandiga asosan amalga oshiriladi.</w:t>
      </w:r>
    </w:p>
    <w:p>
      <w:pPr>
        <w:pStyle w:val="a3"/>
        <w:jc w:val="both"/>
        <w:ind w:firstLine="425"/>
        <w:spacing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Mijozning boshqa majburiyatlari</w:t>
        <w:fldChar w:fldCharType="end"/>
      </w:r>
      <w:r>
        <w:rPr>
          <w:sz w:val="24"/>
          <w:rFonts w:ascii="Times New Roman" w:hAnsi="Times New Roman"/>
        </w:rPr>
        <w:t>.</w:t>
      </w:r>
    </w:p>
    <w:p>
      <w:pPr>
        <w:jc w:val="both"/>
        <w:ind w:firstLine="425"/>
        <w:spacing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“Yuk tashuvchining” majburiyati:</w:t>
      </w:r>
    </w:p>
    <w:p>
      <w:pPr>
        <w:pStyle w:val="a3"/>
        <w:jc w:val="both"/>
        <w:ind w:firstLine="425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2.5. Yuk operatsiyalari amalga oshirish vaqtidagi, soʻngi indeksatsiya va belgilangan QQS bilan ushbu shartnomaga ilova qilingan xizmatlar kalkulyatsiyasiga asosan belgilangan xarajatlar koʻrib chiqilgan holda, qoʻshimcha xizmatlar koʻrsatishni oʻz vaqtida taʼminlaydi. </w:t>
      </w:r>
    </w:p>
    <w:p>
      <w:pPr>
        <w:pStyle w:val="a3"/>
        <w:jc w:val="both"/>
        <w:ind w:firstLine="425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2.6. Agar stansiya mijoz tomonidan toʻlangan xizmatlarni bajara olmasa, bu miqdor keyingi temir yoʻl xizmatlari uchun toʻlovni xisobga olish yoʻli bilan amalga oshiriladi. </w:t>
      </w:r>
    </w:p>
    <w:p>
      <w:pPr>
        <w:pStyle w:val="a3"/>
        <w:jc w:val="both"/>
        <w:ind w:firstLine="425"/>
        <w:spacing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Yuk tashuvchining boshqa majburiyatlari</w:t>
        <w:fldChar w:fldCharType="end"/>
      </w:r>
      <w:r>
        <w:rPr>
          <w:sz w:val="24"/>
          <w:rFonts w:ascii="Times New Roman" w:hAnsi="Times New Roman"/>
        </w:rPr>
        <w:t>.</w:t>
      </w:r>
    </w:p>
    <w:p>
      <w:pPr>
        <w:pStyle w:val="a3"/>
        <w:jc w:val="center"/>
        <w:ind w:firstLine="425"/>
        <w:spacing w:line="276" w:lineRule="auto"/>
        <w:rPr>
          <w:b/>
          <w:sz w:val="24"/>
          <w:rFonts w:ascii="Times New Roman" w:hAnsi="Times New Roman"/>
        </w:rPr>
      </w:pPr>
    </w:p>
    <w:p>
      <w:pPr>
        <w:pStyle w:val="a3"/>
        <w:numPr>
          <w:numId w:val="2"/>
          <w:ilvl w:val="0"/>
        </w:numPr>
        <w:jc w:val="center"/>
        <w:ind w:left="1701"/>
        <w:spacing w:line="276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Nizolarni koʻrib chiqish tartibi.</w:t>
      </w:r>
    </w:p>
    <w:p>
      <w:pPr>
        <w:pStyle w:val="a3"/>
        <w:jc w:val="both"/>
        <w:ind w:firstLine="425"/>
        <w:spacing w:line="276" w:lineRule="auto"/>
        <w:rPr>
          <w:b/>
          <w:sz w:val="24"/>
          <w:rFonts w:ascii="Times New Roman" w:hAnsi="Times New Roman"/>
        </w:rPr>
      </w:pPr>
    </w:p>
    <w:p>
      <w:pPr>
        <w:pStyle w:val="a3"/>
        <w:jc w:val="both"/>
        <w:ind w:firstLine="425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3.1. Mazkur shartnoma shartlarini bajarilishi yuzasidan kelib chiqadigan nizolar va kelishmovchiliklar shuningdek, shartnomaga oʻzgartirish kiritish va bekor qilish tomonlar oʻrtasida muzokara yoʻli bilan xal etiladi.</w:t>
      </w:r>
    </w:p>
    <w:p>
      <w:pPr>
        <w:pStyle w:val="a3"/>
        <w:jc w:val="both"/>
        <w:ind w:firstLine="425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3.2. Shartnomada koʻzda tutilmagan barcha masalalar temir yoʻl Ustavi va amaldagi qonunchilik asosida belgilangan tartibda xal qilinadi. </w:t>
      </w:r>
    </w:p>
    <w:p>
      <w:pPr>
        <w:jc w:val="both"/>
        <w:ind w:firstLine="425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3.3. Nizolarni tomonlarning muzokaralar yoʻli bilan hal qilish imkoni boʻlmagan taqdirda, tomonlar  kelishmovchiliklarni bartaraf qilish borasida, qonunchilikda koʻzda tutilgan sudgacha boʻlgan jarayonlarni amalga oshirganlaridan soʻng, ularni </w:t>
      </w:r>
      <w:r>
        <w:rPr>
          <w:sz w:val="24"/>
          <w:rFonts w:ascii="Times New Roman" w:hAnsi="Times New Roman"/>
        </w:rPr>
        <w:fldChar w:fldCharType="begin"/>
        <w:instrText xml:space="preserve">X {"Y":30}</w:instrText>
        <w:fldChar w:fldCharType="separate"/>
      </w:r>
      <w:r>
        <w:rPr>
          <w:sz w:val="24"/>
          <w:rFonts w:ascii="Times New Roman" w:hAnsi="Times New Roman"/>
        </w:rPr>
        <w:t xml:space="preserve">Taraflarning kelishuvi yoki qonun talabiga ko‘ra nizolarni ko‘rib chiqadigan sud nomi</w:t>
        <w:fldChar w:fldCharType="end"/>
      </w:r>
      <w:r>
        <w:rPr>
          <w:sz w:val="24"/>
          <w:rFonts w:ascii="Times New Roman" w:hAnsi="Times New Roman"/>
        </w:rPr>
        <w:t xml:space="preserve">  sudiga koʻrib chiqishga topshiriladilar.</w:t>
      </w:r>
    </w:p>
    <w:p>
      <w:pPr>
        <w:numPr>
          <w:numId w:val="2"/>
          <w:ilvl w:val="0"/>
        </w:numPr>
        <w:jc w:val="center"/>
        <w:ind w:hanging="436"/>
        <w:spacing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Amal qilish muddati, oʻzgartirishlar va bekor qilish.</w:t>
      </w:r>
    </w:p>
    <w:p>
      <w:pPr>
        <w:jc w:val="both"/>
        <w:ind w:firstLine="425"/>
        <w:spacing w:after="0"/>
        <w:rPr>
          <w:sz w:val="24"/>
          <w:rFonts w:ascii="Times New Roman" w:hAnsi="Times New Roman"/>
        </w:rPr>
      </w:pPr>
    </w:p>
    <w:p>
      <w:pPr>
        <w:jc w:val="both"/>
        <w:ind w:firstLine="425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4.1. Mazkur shartnoma oʻzaro kelishuv bilan 3 nusxada tuzilib, shu jumladan bitta nusxa stansiyaga beriladi va har biri teng yuridik kuchga ega, tomonlar imzolaganlaridan keyin.</w:t>
      </w:r>
    </w:p>
    <w:p>
      <w:pPr>
        <w:jc w:val="both"/>
        <w:ind w:firstLine="425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4.2. Mazkur  Shartnoma bekor qilinmagunga qadar amalda boʻladi, agar taraflardan biri yozma ravishda shartnomani bekor qilish maqsadida murojaat etmasa, shartnoma kelasi yilga uzaytirilgan deb xisoblanadi. </w:t>
      </w:r>
    </w:p>
    <w:p>
      <w:pPr>
        <w:pStyle w:val="a3"/>
        <w:jc w:val="both"/>
        <w:ind w:firstLine="425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4.3. Shartnomani bekor qilish kamida 30 kun avval ikkinchi tomonni ogoxlantirish yoʻli bilan amalga oshiriladi. </w:t>
      </w:r>
    </w:p>
    <w:p>
      <w:pPr>
        <w:pStyle w:val="a3"/>
        <w:jc w:val="both"/>
        <w:ind w:firstLine="425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4.4. Ushbu shartnoma imzolangandan keyin qonuniy kuchga kiradi.</w:t>
      </w:r>
    </w:p>
    <w:p>
      <w:pPr>
        <w:jc w:val="both"/>
        <w:ind w:firstLine="425"/>
        <w:spacing w:after="0"/>
        <w:rPr>
          <w:b/>
          <w:sz w:val="24"/>
          <w:rFonts w:ascii="Times New Roman" w:hAnsi="Times New Roman"/>
        </w:rPr>
      </w:pPr>
    </w:p>
    <w:p>
      <w:pPr>
        <w:numPr>
          <w:numId w:val="2"/>
          <w:ilvl w:val="0"/>
        </w:numPr>
        <w:jc w:val="center"/>
        <w:spacing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Tomonlarning manzili va bank rekvizitlari.</w:t>
      </w:r>
    </w:p>
    <w:p>
      <w:pPr>
        <w:jc w:val="center"/>
        <w:ind w:firstLine="425"/>
        <w:spacing w:after="0"/>
        <w:rPr>
          <w:b/>
          <w:sz w:val="24"/>
          <w:rFonts w:ascii="Times New Roman" w:hAnsi="Times New Roman"/>
        </w:rPr>
      </w:pPr>
    </w:p>
    <w:tbl>
      <w:tblPr>
        <w:tblW w:w="0" w:type="auto"/>
      </w:tblPr>
      <w:tblGrid>
        <w:gridCol w:w="3712"/>
        <w:gridCol w:w="2358"/>
        <w:gridCol w:w="3711"/>
      </w:tblGrid>
      <w:tr>
        <w:tc>
          <w:tcPr>
            <w:tcW w:w="3794" w:type="dxa"/>
            <w:shd w:fill="auto"/>
            <w:vAlign w:val="center"/>
          </w:tcPr>
          <w:p>
            <w:pPr>
              <w:jc w:val="center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Yuk tashuvchi</w:t>
            </w:r>
          </w:p>
        </w:tc>
        <w:tc>
          <w:tcPr>
            <w:tcW w:w="2410" w:type="dxa"/>
            <w:shd w:fill="auto"/>
            <w:vAlign w:val="center"/>
          </w:tcPr>
          <w:p>
            <w:pPr>
              <w:jc w:val="center"/>
              <w:spacing w:after="0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3793" w:type="dxa"/>
            <w:shd w:fill="auto"/>
            <w:vAlign w:val="center"/>
          </w:tcPr>
          <w:p>
            <w:pPr>
              <w:jc w:val="center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Mijoz:</w:t>
            </w:r>
          </w:p>
        </w:tc>
      </w:tr>
      <w:tr>
        <w:tc>
          <w:tcPr>
            <w:tcW w:w="3794" w:type="dxa"/>
            <w:shd w:fill="auto"/>
            <w:vAlign w:val="center"/>
          </w:tcPr>
          <w:p>
            <w:pPr>
              <w:jc w:val="both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Manzil:</w:t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sz w:val="24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</w:r>
            <w:r>
              <w:rPr>
                <w:sz w:val="24"/>
                <w:rFonts w:ascii="Times New Roman" w:hAnsi="Times New Roman"/>
              </w:rPr>
              <w:t xml:space="preserve">Yuk tashuvchi tashkilotning manzili</w:t>
              <w:fldChar w:fldCharType="end"/>
            </w:r>
          </w:p>
        </w:tc>
        <w:tc>
          <w:tcPr>
            <w:tcW w:w="2410" w:type="dxa"/>
            <w:shd w:fill="auto"/>
            <w:vAlign w:val="center"/>
          </w:tcPr>
          <w:p>
            <w:pPr>
              <w:jc w:val="center"/>
              <w:spacing w:after="0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3793" w:type="dxa"/>
            <w:shd w:fill="auto"/>
            <w:vAlign w:val="center"/>
          </w:tcPr>
          <w:p>
            <w:pPr>
              <w:jc w:val="both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Manzil:</w:t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sz w:val="24"/>
                <w:rFonts w:ascii="Times New Roman" w:hAnsi="Times New Roman"/>
              </w:rPr>
              <w:fldChar w:fldCharType="begin"/>
              <w:instrText xml:space="preserve">X {"Y":18}</w:instrText>
              <w:fldChar w:fldCharType="separate"/>
            </w:r>
            <w:r>
              <w:rPr>
                <w:sz w:val="24"/>
                <w:rFonts w:ascii="Times New Roman" w:hAnsi="Times New Roman"/>
              </w:rPr>
              <w:t xml:space="preserve">Mijozning manzili</w:t>
              <w:fldChar w:fldCharType="end"/>
            </w:r>
          </w:p>
        </w:tc>
      </w:tr>
      <w:tr>
        <w:tc>
          <w:tcPr>
            <w:tcW w:w="3794" w:type="dxa"/>
            <w:shd w:fill="auto"/>
            <w:vAlign w:val="center"/>
          </w:tcPr>
          <w:p>
            <w:pPr>
              <w:jc w:val="both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Bank:</w:t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sz w:val="24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sz w:val="24"/>
                <w:rFonts w:ascii="Times New Roman" w:hAnsi="Times New Roman"/>
              </w:rPr>
              <w:t xml:space="preserve">Yuk tashuvchi tashkilotning hisob raqami joylashgan bank nomi</w:t>
              <w:fldChar w:fldCharType="end"/>
            </w:r>
          </w:p>
        </w:tc>
        <w:tc>
          <w:tcPr>
            <w:tcW w:w="2410" w:type="dxa"/>
            <w:shd w:fill="auto"/>
            <w:vAlign w:val="center"/>
          </w:tcPr>
          <w:p>
            <w:pPr>
              <w:jc w:val="center"/>
              <w:spacing w:after="0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3793" w:type="dxa"/>
            <w:shd w:fill="auto"/>
            <w:vAlign w:val="center"/>
          </w:tcPr>
          <w:p>
            <w:pPr>
              <w:jc w:val="both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Bank:</w:t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sz w:val="24"/>
                <w:rFonts w:ascii="Times New Roman" w:hAnsi="Times New Roman"/>
              </w:rPr>
              <w:fldChar w:fldCharType="begin"/>
              <w:instrText xml:space="preserve">X {"Y":19}</w:instrText>
              <w:fldChar w:fldCharType="separate"/>
            </w:r>
            <w:r>
              <w:rPr>
                <w:sz w:val="24"/>
                <w:rFonts w:ascii="Times New Roman" w:hAnsi="Times New Roman"/>
              </w:rPr>
              <w:t xml:space="preserve">Mijozning hisob raqami joylashgan bank nomi</w:t>
              <w:fldChar w:fldCharType="end"/>
            </w:r>
          </w:p>
        </w:tc>
      </w:tr>
      <w:tr>
        <w:tc>
          <w:tcPr>
            <w:tcW w:w="3794" w:type="dxa"/>
            <w:shd w:fill="auto"/>
            <w:vAlign w:val="center"/>
          </w:tcPr>
          <w:p>
            <w:pPr>
              <w:jc w:val="both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H/R: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Yuk tashuvchi tashkilotning hisob raqami</w:t>
              <w:fldChar w:fldCharType="end"/>
            </w:r>
          </w:p>
        </w:tc>
        <w:tc>
          <w:tcPr>
            <w:tcW w:w="2410" w:type="dxa"/>
            <w:shd w:fill="auto"/>
            <w:vAlign w:val="center"/>
          </w:tcPr>
          <w:p>
            <w:pPr>
              <w:jc w:val="center"/>
              <w:spacing w:after="0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3793" w:type="dxa"/>
            <w:shd w:fill="auto"/>
            <w:vAlign w:val="center"/>
          </w:tcPr>
          <w:p>
            <w:pPr>
              <w:jc w:val="both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H/R: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{"Y":20}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Mijozning hisob raqami</w:t>
              <w:fldChar w:fldCharType="end"/>
            </w:r>
          </w:p>
        </w:tc>
      </w:tr>
      <w:tr>
        <w:tc>
          <w:tcPr>
            <w:tcW w:w="3794" w:type="dxa"/>
            <w:shd w:fill="auto"/>
            <w:vAlign w:val="center"/>
          </w:tcPr>
          <w:p>
            <w:pPr>
              <w:jc w:val="both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STIR: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Yuk tashuvchi tashkilotning STIR raqami</w:t>
              <w:fldChar w:fldCharType="end"/>
            </w:r>
          </w:p>
        </w:tc>
        <w:tc>
          <w:tcPr>
            <w:tcW w:w="2410" w:type="dxa"/>
            <w:shd w:fill="auto"/>
            <w:vAlign w:val="center"/>
          </w:tcPr>
          <w:p>
            <w:pPr>
              <w:jc w:val="center"/>
              <w:spacing w:after="0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3793" w:type="dxa"/>
            <w:shd w:fill="auto"/>
            <w:vAlign w:val="center"/>
          </w:tcPr>
          <w:p>
            <w:pPr>
              <w:jc w:val="both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STIR: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{"Y":21}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Mijozning STIR raqami</w:t>
              <w:fldChar w:fldCharType="end"/>
            </w:r>
          </w:p>
        </w:tc>
      </w:tr>
      <w:tr>
        <w:tc>
          <w:tcPr>
            <w:tcW w:w="3794" w:type="dxa"/>
            <w:shd w:fill="auto"/>
            <w:vAlign w:val="center"/>
          </w:tcPr>
          <w:p>
            <w:pPr>
              <w:jc w:val="both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Yuk tashuvchi tashkilotning telefon raqami</w:t>
              <w:fldChar w:fldCharType="end"/>
            </w:r>
          </w:p>
          <w:p>
            <w:pPr>
              <w:jc w:val="both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</w:r>
          </w:p>
          <w:p>
            <w:pPr>
              <w:jc w:val="both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Yuk tashuvchi tashkilot nomidan faoliyat olib boruvchi shaxs lavozimi va F.I.O.si</w:t>
              <w:fldChar w:fldCharType="end"/>
            </w:r>
          </w:p>
        </w:tc>
        <w:tc>
          <w:tcPr>
            <w:tcW w:w="2410" w:type="dxa"/>
            <w:shd w:fill="auto"/>
            <w:vAlign w:val="center"/>
          </w:tcPr>
          <w:p>
            <w:pPr>
              <w:jc w:val="center"/>
              <w:spacing w:after="0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3793" w:type="dxa"/>
            <w:shd w:fill="auto"/>
            <w:vAlign w:val="center"/>
          </w:tcPr>
          <w:p>
            <w:pPr>
              <w:jc w:val="both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{"Y":22}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Mijozning telefon raqami</w:t>
              <w:fldChar w:fldCharType="end"/>
            </w:r>
          </w:p>
          <w:p>
            <w:pPr>
              <w:jc w:val="both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</w:r>
          </w:p>
          <w:p>
            <w:pPr>
              <w:jc w:val="both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{"Y":17}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Mijoz nomidan ish olib boruvchi shaxs lavozimi, F.I.O.si</w:t>
              <w:fldChar w:fldCharType="end"/>
            </w:r>
          </w:p>
        </w:tc>
      </w:tr>
      <w:tr>
        <w:tc>
          <w:tcPr>
            <w:tcW w:w="3794" w:type="dxa"/>
            <w:shd w:fill="auto"/>
            <w:vAlign w:val="center"/>
          </w:tcPr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___________________</w:t>
            </w:r>
          </w:p>
          <w:p>
            <w:pPr>
              <w:jc w:val="center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(imzo, muhr)</w:t>
            </w:r>
          </w:p>
          <w:p>
            <w:pPr>
              <w:jc w:val="both"/>
              <w:spacing w:after="0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2410" w:type="dxa"/>
            <w:shd w:fill="auto"/>
          </w:tcPr>
          <w:p>
            <w:pPr>
              <w:jc w:val="center"/>
              <w:spacing w:after="0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3793" w:type="dxa"/>
            <w:shd w:fill="auto"/>
          </w:tcPr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___________________</w:t>
            </w:r>
          </w:p>
          <w:p>
            <w:pPr>
              <w:jc w:val="center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(imzo, muhr)</w:t>
            </w:r>
          </w:p>
          <w:p>
            <w:pPr>
              <w:jc w:val="both"/>
              <w:spacing w:after="0"/>
              <w:rPr>
                <w:b/>
                <w:sz w:val="24"/>
                <w:rFonts w:ascii="Times New Roman" w:hAnsi="Times New Roman"/>
              </w:rPr>
            </w:pPr>
          </w:p>
        </w:tc>
      </w:tr>
    </w:tbl>
    <w:p>
      <w:pPr>
        <w:rPr>
          <w:b/>
          <w:sz w:val="24"/>
        </w:rPr>
      </w:pPr>
    </w:p>
    <w:p>
      <w:pPr>
        <w:jc w:val="both"/>
        <w:ind w:firstLine="425"/>
        <w:spacing w:after="0" w:line="288" w:lineRule="auto"/>
        <w:rPr>
          <w:b/>
          <w:sz w:val="24"/>
          <w:rFonts w:ascii="Times New Roman" w:hAnsi="Times New Roman"/>
        </w:rPr>
      </w:pPr>
    </w:p>
    <w:sectPr>
      <w:pgSz w:w="11906" w:h="16838"/>
      <w:pgMar w:left="1276" w:right="849" w:top="709" w:bottom="709" w:header="708" w:footer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7058" w:rsidRDefault="00347058" w:rsidP="00FD38A7">
      <w:pPr>
        <w:spacing w:after="0" w:line="240" w:lineRule="auto"/>
      </w:pPr>
      <w:r>
        <w:separator/>
      </w:r>
    </w:p>
  </w:endnote>
  <w:endnote w:type="continuationSeparator" w:id="0">
    <w:p w:rsidR="00347058" w:rsidRDefault="00347058" w:rsidP="00FD3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7058" w:rsidRDefault="00347058" w:rsidP="00FD38A7">
      <w:pPr>
        <w:spacing w:after="0" w:line="240" w:lineRule="auto"/>
      </w:pPr>
      <w:r>
        <w:separator/>
      </w:r>
    </w:p>
  </w:footnote>
  <w:footnote w:type="continuationSeparator" w:id="0">
    <w:p w:rsidR="00347058" w:rsidRDefault="00347058" w:rsidP="00FD38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86EB1"/>
    <w:multiLevelType w:val="hybridMultilevel"/>
    <w:tmpl w:val="A26C94AA"/>
    <w:lvl w:ilvl="0" w:tplc="DBA87E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A701FD"/>
    <w:multiLevelType w:val="hybridMultilevel"/>
    <w:tmpl w:val="4F2CD1C2"/>
    <w:lvl w:ilvl="0" w:tplc="921CD510">
      <w:start w:val="1"/>
      <w:numFmt w:val="upperRoman"/>
      <w:lvlText w:val="%1."/>
      <w:lvlJc w:val="left"/>
      <w:pPr>
        <w:ind w:left="114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E1346"/>
    <w:rsid w:val="00000210"/>
    <w:rsid w:val="000232A8"/>
    <w:rsid w:val="0005695A"/>
    <w:rsid w:val="0007446D"/>
    <w:rsid w:val="0009382C"/>
    <w:rsid w:val="00094A9C"/>
    <w:rsid w:val="000B1ED7"/>
    <w:rsid w:val="000C57C9"/>
    <w:rsid w:val="000E00A4"/>
    <w:rsid w:val="000E750F"/>
    <w:rsid w:val="0010297A"/>
    <w:rsid w:val="001105D4"/>
    <w:rsid w:val="001106AB"/>
    <w:rsid w:val="00112867"/>
    <w:rsid w:val="001201FB"/>
    <w:rsid w:val="001228C1"/>
    <w:rsid w:val="001262A6"/>
    <w:rsid w:val="001354E2"/>
    <w:rsid w:val="0014116B"/>
    <w:rsid w:val="0015630C"/>
    <w:rsid w:val="00160F86"/>
    <w:rsid w:val="00172A89"/>
    <w:rsid w:val="00186410"/>
    <w:rsid w:val="00194C0D"/>
    <w:rsid w:val="001B6760"/>
    <w:rsid w:val="001C6B72"/>
    <w:rsid w:val="001E00D3"/>
    <w:rsid w:val="001E0FF3"/>
    <w:rsid w:val="001F459A"/>
    <w:rsid w:val="0020054C"/>
    <w:rsid w:val="00200934"/>
    <w:rsid w:val="00212E74"/>
    <w:rsid w:val="0021434C"/>
    <w:rsid w:val="002145D7"/>
    <w:rsid w:val="00224DEE"/>
    <w:rsid w:val="0023626A"/>
    <w:rsid w:val="00236B0E"/>
    <w:rsid w:val="002517C0"/>
    <w:rsid w:val="00253A87"/>
    <w:rsid w:val="0026328D"/>
    <w:rsid w:val="00271072"/>
    <w:rsid w:val="00291E9A"/>
    <w:rsid w:val="00295DC6"/>
    <w:rsid w:val="002B1375"/>
    <w:rsid w:val="002B228B"/>
    <w:rsid w:val="002B4930"/>
    <w:rsid w:val="002E7D97"/>
    <w:rsid w:val="002F3F47"/>
    <w:rsid w:val="002F5884"/>
    <w:rsid w:val="00310562"/>
    <w:rsid w:val="00313068"/>
    <w:rsid w:val="003275D6"/>
    <w:rsid w:val="00345CAD"/>
    <w:rsid w:val="00347058"/>
    <w:rsid w:val="00350A8D"/>
    <w:rsid w:val="003518A0"/>
    <w:rsid w:val="00354FAC"/>
    <w:rsid w:val="00364133"/>
    <w:rsid w:val="003657BE"/>
    <w:rsid w:val="003679C2"/>
    <w:rsid w:val="003809B6"/>
    <w:rsid w:val="00382323"/>
    <w:rsid w:val="003917E9"/>
    <w:rsid w:val="00393B37"/>
    <w:rsid w:val="003B1182"/>
    <w:rsid w:val="003B650C"/>
    <w:rsid w:val="003B71A7"/>
    <w:rsid w:val="003E1B35"/>
    <w:rsid w:val="003E3DF6"/>
    <w:rsid w:val="003F637E"/>
    <w:rsid w:val="00401B14"/>
    <w:rsid w:val="004079A0"/>
    <w:rsid w:val="00413ED1"/>
    <w:rsid w:val="004140B4"/>
    <w:rsid w:val="00445730"/>
    <w:rsid w:val="00464588"/>
    <w:rsid w:val="004704D5"/>
    <w:rsid w:val="00476FC1"/>
    <w:rsid w:val="00493781"/>
    <w:rsid w:val="004B399F"/>
    <w:rsid w:val="004D7A46"/>
    <w:rsid w:val="004E20C9"/>
    <w:rsid w:val="004E391D"/>
    <w:rsid w:val="004F1C94"/>
    <w:rsid w:val="004F7E0B"/>
    <w:rsid w:val="00503579"/>
    <w:rsid w:val="00524165"/>
    <w:rsid w:val="00532158"/>
    <w:rsid w:val="00533F3E"/>
    <w:rsid w:val="0055359C"/>
    <w:rsid w:val="00554C19"/>
    <w:rsid w:val="00562847"/>
    <w:rsid w:val="00564AD9"/>
    <w:rsid w:val="00572F22"/>
    <w:rsid w:val="00574D9B"/>
    <w:rsid w:val="005912C2"/>
    <w:rsid w:val="005A06E1"/>
    <w:rsid w:val="005A1C03"/>
    <w:rsid w:val="005A1D37"/>
    <w:rsid w:val="005A5723"/>
    <w:rsid w:val="005B073E"/>
    <w:rsid w:val="005B4E6D"/>
    <w:rsid w:val="005B5332"/>
    <w:rsid w:val="005B7E01"/>
    <w:rsid w:val="005D0290"/>
    <w:rsid w:val="005D2726"/>
    <w:rsid w:val="005F5C0A"/>
    <w:rsid w:val="005F792B"/>
    <w:rsid w:val="0060264A"/>
    <w:rsid w:val="0061200C"/>
    <w:rsid w:val="00630208"/>
    <w:rsid w:val="00634515"/>
    <w:rsid w:val="00642E96"/>
    <w:rsid w:val="00643544"/>
    <w:rsid w:val="006449E0"/>
    <w:rsid w:val="00661EC5"/>
    <w:rsid w:val="00662F8E"/>
    <w:rsid w:val="006640F4"/>
    <w:rsid w:val="006677A9"/>
    <w:rsid w:val="00680473"/>
    <w:rsid w:val="00681F8A"/>
    <w:rsid w:val="00691B33"/>
    <w:rsid w:val="00692815"/>
    <w:rsid w:val="00695B42"/>
    <w:rsid w:val="006973D1"/>
    <w:rsid w:val="0069781B"/>
    <w:rsid w:val="006A3751"/>
    <w:rsid w:val="006A5DB5"/>
    <w:rsid w:val="006B101D"/>
    <w:rsid w:val="006B19DB"/>
    <w:rsid w:val="006C20C4"/>
    <w:rsid w:val="006C2E05"/>
    <w:rsid w:val="006C2E6C"/>
    <w:rsid w:val="006D714A"/>
    <w:rsid w:val="006D75A5"/>
    <w:rsid w:val="006E6CDD"/>
    <w:rsid w:val="006E7D2E"/>
    <w:rsid w:val="006F0267"/>
    <w:rsid w:val="006F27D7"/>
    <w:rsid w:val="006F6410"/>
    <w:rsid w:val="007040E7"/>
    <w:rsid w:val="007051CB"/>
    <w:rsid w:val="007153A5"/>
    <w:rsid w:val="0074709D"/>
    <w:rsid w:val="007525BD"/>
    <w:rsid w:val="00757065"/>
    <w:rsid w:val="00757B26"/>
    <w:rsid w:val="00766103"/>
    <w:rsid w:val="007749EF"/>
    <w:rsid w:val="00777E5A"/>
    <w:rsid w:val="0079125E"/>
    <w:rsid w:val="00792437"/>
    <w:rsid w:val="00795DA5"/>
    <w:rsid w:val="007A4D15"/>
    <w:rsid w:val="007A4DE3"/>
    <w:rsid w:val="007A50FB"/>
    <w:rsid w:val="007C0371"/>
    <w:rsid w:val="007C5C76"/>
    <w:rsid w:val="007D5C92"/>
    <w:rsid w:val="007E4EC8"/>
    <w:rsid w:val="007E6266"/>
    <w:rsid w:val="007F4EBA"/>
    <w:rsid w:val="007F5F6F"/>
    <w:rsid w:val="00803B1E"/>
    <w:rsid w:val="00813D11"/>
    <w:rsid w:val="008220B3"/>
    <w:rsid w:val="00826EF5"/>
    <w:rsid w:val="00827B99"/>
    <w:rsid w:val="00842B8A"/>
    <w:rsid w:val="00843B37"/>
    <w:rsid w:val="00843D06"/>
    <w:rsid w:val="00856880"/>
    <w:rsid w:val="00857BD5"/>
    <w:rsid w:val="008772CF"/>
    <w:rsid w:val="00882481"/>
    <w:rsid w:val="008846CC"/>
    <w:rsid w:val="00886EC4"/>
    <w:rsid w:val="008A2C69"/>
    <w:rsid w:val="008B57F5"/>
    <w:rsid w:val="008D2935"/>
    <w:rsid w:val="008D4944"/>
    <w:rsid w:val="008F477D"/>
    <w:rsid w:val="009002A2"/>
    <w:rsid w:val="00906D27"/>
    <w:rsid w:val="00910397"/>
    <w:rsid w:val="00923536"/>
    <w:rsid w:val="00931040"/>
    <w:rsid w:val="009341C4"/>
    <w:rsid w:val="0093592D"/>
    <w:rsid w:val="00942A8D"/>
    <w:rsid w:val="0096554D"/>
    <w:rsid w:val="00967166"/>
    <w:rsid w:val="00972822"/>
    <w:rsid w:val="009764CB"/>
    <w:rsid w:val="00982D1A"/>
    <w:rsid w:val="00984668"/>
    <w:rsid w:val="009911CF"/>
    <w:rsid w:val="009940D6"/>
    <w:rsid w:val="00997356"/>
    <w:rsid w:val="009A65F9"/>
    <w:rsid w:val="009B104E"/>
    <w:rsid w:val="009B42D3"/>
    <w:rsid w:val="009D035F"/>
    <w:rsid w:val="009D450B"/>
    <w:rsid w:val="00A0313C"/>
    <w:rsid w:val="00A077C9"/>
    <w:rsid w:val="00A10F2C"/>
    <w:rsid w:val="00A13BB5"/>
    <w:rsid w:val="00A166E3"/>
    <w:rsid w:val="00A24E24"/>
    <w:rsid w:val="00A3236C"/>
    <w:rsid w:val="00A44A70"/>
    <w:rsid w:val="00A53AE8"/>
    <w:rsid w:val="00A720F4"/>
    <w:rsid w:val="00A7493D"/>
    <w:rsid w:val="00A75C3A"/>
    <w:rsid w:val="00A83D31"/>
    <w:rsid w:val="00A87F63"/>
    <w:rsid w:val="00A9085D"/>
    <w:rsid w:val="00AA01A4"/>
    <w:rsid w:val="00AC5684"/>
    <w:rsid w:val="00AC5B9F"/>
    <w:rsid w:val="00AC5CB0"/>
    <w:rsid w:val="00AE1346"/>
    <w:rsid w:val="00AE322A"/>
    <w:rsid w:val="00AF7237"/>
    <w:rsid w:val="00B0415B"/>
    <w:rsid w:val="00B22F1A"/>
    <w:rsid w:val="00B51F29"/>
    <w:rsid w:val="00B66BC7"/>
    <w:rsid w:val="00B87D8A"/>
    <w:rsid w:val="00B926FB"/>
    <w:rsid w:val="00B96ED4"/>
    <w:rsid w:val="00BA5E38"/>
    <w:rsid w:val="00BC2A3D"/>
    <w:rsid w:val="00BC2B6B"/>
    <w:rsid w:val="00BD51EA"/>
    <w:rsid w:val="00BD6703"/>
    <w:rsid w:val="00BE7A31"/>
    <w:rsid w:val="00C04C9E"/>
    <w:rsid w:val="00C05729"/>
    <w:rsid w:val="00C126A8"/>
    <w:rsid w:val="00C1295F"/>
    <w:rsid w:val="00C21A12"/>
    <w:rsid w:val="00C34C17"/>
    <w:rsid w:val="00C3702C"/>
    <w:rsid w:val="00C44CF8"/>
    <w:rsid w:val="00C624D1"/>
    <w:rsid w:val="00C641F9"/>
    <w:rsid w:val="00C6760E"/>
    <w:rsid w:val="00C77132"/>
    <w:rsid w:val="00C851FF"/>
    <w:rsid w:val="00CA2C54"/>
    <w:rsid w:val="00CA4BE8"/>
    <w:rsid w:val="00CB4A8D"/>
    <w:rsid w:val="00CC04EC"/>
    <w:rsid w:val="00CC293E"/>
    <w:rsid w:val="00CC31B6"/>
    <w:rsid w:val="00CC4992"/>
    <w:rsid w:val="00CD2FA8"/>
    <w:rsid w:val="00CD2FB6"/>
    <w:rsid w:val="00CE7BD4"/>
    <w:rsid w:val="00CF2470"/>
    <w:rsid w:val="00CF5F6D"/>
    <w:rsid w:val="00D00DD8"/>
    <w:rsid w:val="00D018FF"/>
    <w:rsid w:val="00D04838"/>
    <w:rsid w:val="00D25371"/>
    <w:rsid w:val="00D272BA"/>
    <w:rsid w:val="00D3471B"/>
    <w:rsid w:val="00D42D8A"/>
    <w:rsid w:val="00D773DA"/>
    <w:rsid w:val="00D829BA"/>
    <w:rsid w:val="00D92515"/>
    <w:rsid w:val="00DC453E"/>
    <w:rsid w:val="00DC5471"/>
    <w:rsid w:val="00DC669D"/>
    <w:rsid w:val="00DD19F8"/>
    <w:rsid w:val="00DD2990"/>
    <w:rsid w:val="00DF11AD"/>
    <w:rsid w:val="00DF42A1"/>
    <w:rsid w:val="00DF6F58"/>
    <w:rsid w:val="00E07B13"/>
    <w:rsid w:val="00E204EF"/>
    <w:rsid w:val="00E23277"/>
    <w:rsid w:val="00E309C9"/>
    <w:rsid w:val="00E345E4"/>
    <w:rsid w:val="00E43DCB"/>
    <w:rsid w:val="00E467ED"/>
    <w:rsid w:val="00E47FE4"/>
    <w:rsid w:val="00E57FE1"/>
    <w:rsid w:val="00E62FC6"/>
    <w:rsid w:val="00E70980"/>
    <w:rsid w:val="00E76F2F"/>
    <w:rsid w:val="00E9010C"/>
    <w:rsid w:val="00E93081"/>
    <w:rsid w:val="00E94F4F"/>
    <w:rsid w:val="00E95D38"/>
    <w:rsid w:val="00E97330"/>
    <w:rsid w:val="00E97738"/>
    <w:rsid w:val="00EA60B3"/>
    <w:rsid w:val="00EA7C52"/>
    <w:rsid w:val="00EB2CD6"/>
    <w:rsid w:val="00ED3A09"/>
    <w:rsid w:val="00ED3EE1"/>
    <w:rsid w:val="00EE5D6C"/>
    <w:rsid w:val="00EF26B5"/>
    <w:rsid w:val="00EF47D8"/>
    <w:rsid w:val="00F017A4"/>
    <w:rsid w:val="00F14854"/>
    <w:rsid w:val="00F1762E"/>
    <w:rsid w:val="00F213C2"/>
    <w:rsid w:val="00F24E08"/>
    <w:rsid w:val="00F321A8"/>
    <w:rsid w:val="00F37914"/>
    <w:rsid w:val="00F43A48"/>
    <w:rsid w:val="00F46C06"/>
    <w:rsid w:val="00F54009"/>
    <w:rsid w:val="00F62826"/>
    <w:rsid w:val="00F63A57"/>
    <w:rsid w:val="00F6734E"/>
    <w:rsid w:val="00F67402"/>
    <w:rsid w:val="00F73368"/>
    <w:rsid w:val="00F84249"/>
    <w:rsid w:val="00F91165"/>
    <w:rsid w:val="00FA7563"/>
    <w:rsid w:val="00FB44F6"/>
    <w:rsid w:val="00FB67FF"/>
    <w:rsid w:val="00FC1CEB"/>
    <w:rsid w:val="00FC4694"/>
    <w:rsid w:val="00FC4F7F"/>
    <w:rsid w:val="00FD0AB0"/>
    <w:rsid w:val="00FD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01B82E-A193-465D-8F4D-B84B05B3A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86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AE1346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link w:val="a3"/>
    <w:rsid w:val="00AE1346"/>
    <w:rPr>
      <w:rFonts w:ascii="Courier New" w:eastAsia="Times New Roman" w:hAnsi="Courier New" w:cs="Courier New"/>
      <w:sz w:val="20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FD38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D38A7"/>
  </w:style>
  <w:style w:type="paragraph" w:styleId="a7">
    <w:name w:val="footer"/>
    <w:basedOn w:val="a"/>
    <w:link w:val="a8"/>
    <w:uiPriority w:val="99"/>
    <w:semiHidden/>
    <w:unhideWhenUsed/>
    <w:rsid w:val="00FD38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D38A7"/>
  </w:style>
  <w:style w:type="paragraph" w:styleId="a9">
    <w:name w:val="List Paragraph"/>
    <w:basedOn w:val="a"/>
    <w:uiPriority w:val="34"/>
    <w:qFormat/>
    <w:rsid w:val="00A24E24"/>
    <w:pPr>
      <w:spacing w:after="160" w:line="259" w:lineRule="auto"/>
      <w:ind w:left="720"/>
      <w:contextualSpacing/>
    </w:pPr>
    <w:rPr>
      <w:rFonts w:eastAsia="Calibri"/>
      <w:lang w:eastAsia="en-US"/>
    </w:rPr>
  </w:style>
  <w:style w:type="table" w:styleId="aa">
    <w:name w:val="Table Grid"/>
    <w:basedOn w:val="a1"/>
    <w:uiPriority w:val="59"/>
    <w:rsid w:val="005D27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1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1D8ED-6EAB-49B3-9F4C-558FE5BFD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Adolat2</cp:lastModifiedBy>
  <cp:revision>2</cp:revision>
  <cp:lastPrinted>2021-09-27T09:40:00Z</cp:lastPrinted>
  <dcterms:created xsi:type="dcterms:W3CDTF">2021-12-13T11:37:00Z</dcterms:created>
  <dcterms:modified xsi:type="dcterms:W3CDTF">2021-12-13T11:37:00Z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Shartnoma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Shartnoma tuzilgan joy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Shartnoma raqami</w:name>
    <w:value w:hidden="false">
      <w:unit w:active="false"/>
    </w:value>
  </w:element>
  <w:element w:id="4" w:kind="variable" w:selector="check" w:type="date" w:valueMode="normal" w:required="false" w:groupID="1">
    <w:identifier xml:space="preserve">ID4</w:identifier>
    <w:name xml:space="preserve">Shartnoma tuzilgan sana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“Yuk tashuvchi” taraf to‘g‘risida maʼlumotlar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Yuk tashuvchi tashkilot nomi, tashkiliy huquqiy shakli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Yuk tashuvchi tashkilot vakiliga shartnoma tuzish huquqini beruvchi hujjat</w:name>
    <w:comment xml:space="preserve">Izoh: Masalan Ustav, Nizom yoki ishonchnoma</w:comment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Yuk tashuvchi tashkilot nomidan faoliyat olib boruvchi shaxs lavozimi va F.I.O.si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Yuk tashuvchi tashkilotning manzili</w:name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Yuk tashuvchi tashkilotning hisob raqami joylashgan bank nomi</w:name>
    <w:value w:hidden="false">
      <w:unit w:active="false"/>
    </w:value>
  </w:element>
  <w:element w:id="11" w:kind="variable" w:selector="check" w:type="string" w:valueMode="normal" w:required="false" w:groupID="5">
    <w:identifier xml:space="preserve">ID11</w:identifier>
    <w:name xml:space="preserve">Yuk tashuvchi tashkilotning hisob raqami</w:name>
    <w:value w:hidden="false">
      <w:unit w:active="false"/>
    </w:value>
  </w:element>
  <w:element w:id="12" w:kind="variable" w:selector="check" w:type="string" w:valueMode="normal" w:required="false" w:groupID="5">
    <w:identifier xml:space="preserve">ID12</w:identifier>
    <w:name xml:space="preserve">Yuk tashuvchi tashkilotning STIR raqami</w:name>
    <w:value w:hidden="false">
      <w:unit w:active="false"/>
    </w:value>
  </w:element>
  <w:element w:id="13" w:kind="variable" w:selector="check" w:type="string" w:valueMode="normal" w:required="false" w:groupID="5">
    <w:identifier xml:space="preserve">ID13</w:identifier>
    <w:name xml:space="preserve">Yuk tashuvchi tashkilotning telefon raqami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“Mijoz” taraf to‘g‘risida maʼlumotlar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Mijoz yuridik shaxsning nomi, tashkiliy huquqiy shakli</w:name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Mijoz nomidan shartnoma tuzish bo‘yicha vakilga shartnoma tuzish huquqini beruvchi hujjat</w:name>
    <w:comment xml:space="preserve">Izoh: Masalan Ustav, Nizom yoki ishonchnoma</w:comment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Mijoz nomidan ish olib boruvchi shaxs lavozimi, F.I.O.si</w:name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Mijozning manzili</w:name>
    <w:value w:hidden="false">
      <w:unit w:active="false"/>
    </w:value>
  </w:element>
  <w:element w:id="19" w:kind="variable" w:selector="check" w:type="string" w:valueMode="normal" w:required="false" w:groupID="14">
    <w:identifier xml:space="preserve">ID19</w:identifier>
    <w:name xml:space="preserve">Mijozning hisob raqami joylashgan bank nomi</w:name>
    <w:value w:hidden="false">
      <w:unit w:active="false"/>
    </w:value>
  </w:element>
  <w:element w:id="20" w:kind="variable" w:selector="check" w:type="string" w:valueMode="normal" w:required="false" w:groupID="14">
    <w:identifier xml:space="preserve">ID20</w:identifier>
    <w:name xml:space="preserve">Mijozning hisob raqami</w:name>
    <w:value w:hidden="false">
      <w:unit w:active="false"/>
    </w:value>
  </w:element>
  <w:element w:id="21" w:kind="variable" w:selector="check" w:type="string" w:valueMode="normal" w:required="false" w:groupID="14">
    <w:identifier xml:space="preserve">ID21</w:identifier>
    <w:name xml:space="preserve">Mijozning STIR raqami</w:name>
    <w:value w:hidden="false">
      <w:unit w:active="false"/>
    </w:value>
  </w:element>
  <w:element w:id="22" w:kind="variable" w:selector="check" w:type="string" w:valueMode="normal" w:required="false" w:groupID="14">
    <w:identifier xml:space="preserve">ID22</w:identifier>
    <w:name xml:space="preserve">Mijozning telefon raqami</w:name>
    <w:value w:hidden="false">
      <w:unit w:active="false"/>
    </w:value>
  </w:element>
  <w:element w:id="24" w:kind="category" w:selector="check" w:type="string" w:valueMode="normal" w:required="false">
    <w:identifier xml:space="preserve">ID24</w:identifier>
    <w:name xml:space="preserve">Shartnoma mazmuni</w:name>
    <w:value w:hidden="true">
      <w:unit w:active="false"/>
    </w:value>
  </w:element>
  <w:element w:id="25" w:kind="variable" w:selector="check" w:type="string" w:valueMode="normal" w:required="false" w:groupID="24">
    <w:identifier xml:space="preserve">ID25</w:identifier>
    <w:name xml:space="preserve">Ko‘rsatiladigan xizmatlar uchun mijoz tomonidan amalga oshiriladigan oldindan to‘lov miqdori (foizda)</w:name>
    <w:value w:hidden="false">
      <w:unit w:active="false"/>
    </w:value>
  </w:element>
  <w:element w:id="26" w:kind="variable" w:selector="check" w:type="string" w:valueMode="normal" w:required="false" w:groupID="24">
    <w:identifier xml:space="preserve">ID26</w:identifier>
    <w:name xml:space="preserve">Oldindan to‘lovni amalga oshirish usuli (naqd pul, pul ko‘chirish, va boshqa turdagi to‘lov turi)</w:name>
    <w:value w:hidden="false">
      <w:unit w:active="false"/>
    </w:value>
  </w:element>
  <w:element w:id="27" w:kind="variable" w:selector="check" w:type="string" w:valueMode="normal" w:required="false" w:groupID="24">
    <w:identifier xml:space="preserve">ID27</w:identifier>
    <w:name xml:space="preserve">To‘lovni amalga oshirish manzili hisob raqam va rekvizitlar</w:name>
    <w:value w:hidden="false">
      <w:unit w:active="false"/>
    </w:value>
  </w:element>
  <w:element w:id="28" w:kind="variable" w:selector="check" w:type="string" w:valueMode="normal" w:required="false" w:groupID="24">
    <w:identifier xml:space="preserve">ID28</w:identifier>
    <w:name xml:space="preserve">Mijozning boshqa majburiyatlari</w:name>
    <w:value w:hidden="false">
      <w:unit w:active="false"/>
    </w:value>
  </w:element>
  <w:element w:id="29" w:kind="variable" w:selector="check" w:type="string" w:valueMode="normal" w:required="false" w:groupID="24">
    <w:identifier xml:space="preserve">ID29</w:identifier>
    <w:name xml:space="preserve">Yuk tashuvchining boshqa majburiyatlari</w:name>
    <w:value w:hidden="false">
      <w:unit w:active="false"/>
    </w:value>
  </w:element>
  <w:element w:id="30" w:kind="variable" w:selector="check" w:type="string" w:valueMode="normal" w:required="false" w:groupID="24">
    <w:identifier xml:space="preserve">ID30</w:identifier>
    <w:name xml:space="preserve">Taraflarning kelishuvi yoki qonun talabiga ko‘ra nizolarni ko‘rib chiqadigan sud nomi</w:name>
    <w:value w:hidden="false">
      <w:unit w:active="false"/>
    </w:value>
  </w:element>
</w:structure>
</file>