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720"/>
        <w:rPr>
          <w:b/>
          <w:sz w:val="24"/>
        </w:rPr>
      </w:pPr>
      <w:r>
        <w:rPr>
          <w:b/>
        </w:rPr>
        <w:t xml:space="preserve">To‘liqsiz ish kuni bilan ishga qabul qilish to‘g‘risida </w:t>
      </w:r>
    </w:p>
    <w:p>
      <w:pPr>
        <w:jc w:val="center"/>
        <w:ind w:left="720"/>
        <w:rPr>
          <w:b/>
          <w:sz w:val="24"/>
        </w:rPr>
      </w:pPr>
    </w:p>
    <w:p>
      <w:pPr>
        <w:jc w:val="center"/>
      </w:pPr>
      <w:r>
        <w:rPr>
          <w:b/>
        </w:rPr>
        <w:t xml:space="preserve">B U Y R U Q</w:t>
      </w:r>
    </w:p>
    <w:p>
      <w:pPr>
        <w:jc w:val="center"/>
        <w:rPr>
          <w:b/>
        </w:rPr>
      </w:pPr>
    </w:p>
    <w:tbl>
      <w:tblPr>
        <w:tblW w:w="0" w:type="auto"/>
      </w:tblPr>
      <w:tblGrid>
        <w:gridCol w:w="3119"/>
        <w:gridCol w:w="3117"/>
        <w:gridCol w:w="3119"/>
      </w:tblGrid>
      <w:tr>
        <w:tc>
          <w:tcPr>
            <w:tcW w:w="3190" w:type="dxa"/>
          </w:tcPr>
          <w:p>
            <w:pPr>
              <w:jc w:val="center"/>
              <w:rPr>
                <w:sz w:val="24"/>
              </w:rPr>
            </w:pPr>
            <w:r>
              <w:rPr>
                <w:vanish w:val="false"/>
              </w:rPr>
              <w:fldChar w:fldCharType="begin"/>
              <w:instrText xml:space="preserve">X {"Y":2}</w:instrText>
              <w:fldChar w:fldCharType="separate"/>
            </w:r>
            <w:r>
              <w:rPr>
                <w:vanish w:val="false"/>
              </w:rPr>
              <w:t xml:space="preserve">Buyruq qabul qilingan sana </w:t>
              <w:fldChar w:fldCharType="end"/>
            </w:r>
          </w:p>
        </w:tc>
        <w:tc>
          <w:tcPr>
            <w:tcW w:w="3190" w:type="dxa"/>
          </w:tcPr>
          <w:p>
            <w:pPr>
              <w:jc w:val="center"/>
              <w:rPr>
                <w:sz w:val="24"/>
              </w:rPr>
            </w:pPr>
            <w:r>
              <w:rPr>
                <w:vanish w:val="false"/>
              </w:rPr>
              <w:fldChar w:fldCharType="begin"/>
              <w:instrText xml:space="preserve">X {"Y":6}</w:instrText>
              <w:fldChar w:fldCharType="separate"/>
            </w:r>
            <w:r>
              <w:rPr>
                <w:vanish w:val="false"/>
              </w:rPr>
              <w:t xml:space="preserve">Buyruq raqami</w:t>
              <w:fldChar w:fldCharType="end"/>
            </w:r>
            <w:r>
              <w:t xml:space="preserve"> -son</w:t>
            </w:r>
          </w:p>
        </w:tc>
        <w:tc>
          <w:tcPr>
            <w:tcW w:w="3190" w:type="dxa"/>
          </w:tcPr>
          <w:p>
            <w:pPr>
              <w:jc w:val="right"/>
              <w:rPr>
                <w:sz w:val="24"/>
              </w:rPr>
            </w:pPr>
            <w:r>
              <w:rPr>
                <w:vanish w:val="false"/>
              </w:rPr>
              <w:fldChar w:fldCharType="begin"/>
              <w:instrText xml:space="preserve">X {"Y":7}</w:instrText>
              <w:fldChar w:fldCharType="separate"/>
            </w:r>
            <w:r>
              <w:rPr>
                <w:vanish w:val="false"/>
              </w:rPr>
              <w:t xml:space="preserve">Buyruq qabul qilingan joy</w:t>
              <w:fldChar w:fldCharType="end"/>
            </w:r>
            <w:r>
              <w:t xml:space="preserve"> sh.</w:t>
            </w:r>
          </w:p>
        </w:tc>
      </w:tr>
    </w:tbl>
    <w:p>
      <w:pPr>
        <w:rPr>
          <w:b/>
        </w:rPr>
      </w:pPr>
    </w:p>
    <w:p>
      <w:pPr>
        <w:jc w:val="center"/>
        <w:rPr>
          <w:rStyle w:val="clausesuff1"/>
          <w:rFonts w:ascii="Times New Roman" w:hAnsi="Times New Roman"/>
        </w:rPr>
      </w:pPr>
    </w:p>
    <w:p>
      <w:pPr>
        <w:jc w:val="center"/>
        <w:rPr>
          <w:rStyle w:val="clausesuff1"/>
          <w:b/>
          <w:rFonts w:ascii="Times New Roman" w:hAnsi="Times New Roman"/>
        </w:rPr>
      </w:pPr>
      <w:r>
        <w:rPr>
          <w:rStyle w:val="clausesuff1"/>
          <w:b/>
          <w:rFonts w:ascii="Times New Roman" w:hAnsi="Times New Roman"/>
        </w:rPr>
        <w:t xml:space="preserve">Ishga qabul qilish to‘g‘risida</w:t>
      </w:r>
    </w:p>
    <w:p>
      <w:pPr>
        <w:jc w:val="center"/>
        <w:rPr>
          <w:rStyle w:val="clausesuff1"/>
          <w:b/>
          <w:rFonts w:ascii="Times New Roman" w:hAnsi="Times New Roman"/>
        </w:rPr>
      </w:pPr>
    </w:p>
    <w:p>
      <w:pPr>
        <w:ind w:firstLine="425"/>
        <w:spacing w:line="288" w:lineRule="auto"/>
        <w:rPr>
          <w:rStyle w:val="clausesuff1"/>
          <w:rFonts w:ascii="Times New Roman" w:hAnsi="Times New Roman"/>
        </w:rPr>
      </w:pPr>
      <w:r>
        <w:rPr>
          <w:rStyle w:val="clausesuff1"/>
          <w:rFonts w:ascii="Times New Roman" w:hAnsi="Times New Roman"/>
        </w:rPr>
        <w:t xml:space="preserve">O‘zbekiston Respublikasi Mehnat kodeksining 186-moddasida to‘liqsiz ish vaqti va uni berish tartibi ko‘rsatib o‘tilgan unga ko‘ra: </w:t>
      </w:r>
    </w:p>
    <w:p>
      <w:pPr>
        <w:ind w:firstLine="425"/>
        <w:spacing w:line="288" w:lineRule="auto"/>
        <w:rPr>
          <w:rStyle w:val="clausesuff1"/>
          <w:rFonts w:ascii="Times New Roman" w:hAnsi="Times New Roman"/>
        </w:rPr>
      </w:pPr>
      <w:r>
        <w:rPr>
          <w:rStyle w:val="clausesuff1"/>
          <w:rFonts w:ascii="Times New Roman" w:hAnsi="Times New Roman"/>
        </w:rPr>
        <w:t xml:space="preserve">Mehnat shartnomasi taraflarining kelishuviga ko‘ra xodimga ishga qabul qilish chog‘ida va keyinchalik to‘liqsiz ish vaqti (to‘liqsiz ish kuni (smena) va (yoki) to‘liqsiz ish haftasi, shu jumladan ish kunini qismlarga bo‘lgan holda) belgilanishi mumkin. To‘liqsiz ish vaqti ham muddati cheklanmagan holda, ham mehnat shartnomasi taraflari kelishgan har qanday muddatga belgilanishi mumkin.</w:t>
      </w:r>
    </w:p>
    <w:p>
      <w:pPr>
        <w:ind w:firstLine="425"/>
        <w:spacing w:line="288" w:lineRule="auto"/>
        <w:rPr>
          <w:rStyle w:val="clausesuff1"/>
          <w:rFonts w:ascii="Times New Roman" w:hAnsi="Times New Roman"/>
        </w:rPr>
      </w:pPr>
      <w:r>
        <w:rPr>
          <w:rStyle w:val="clausesuff1"/>
          <w:rFonts w:ascii="Times New Roman" w:hAnsi="Times New Roman"/>
        </w:rPr>
        <w:t xml:space="preserve">Ish beruvchi:</w:t>
      </w:r>
    </w:p>
    <w:p>
      <w:pPr>
        <w:ind w:firstLine="425"/>
        <w:spacing w:line="288" w:lineRule="auto"/>
        <w:rPr>
          <w:rStyle w:val="clausesuff1"/>
          <w:rFonts w:ascii="Times New Roman" w:hAnsi="Times New Roman"/>
        </w:rPr>
      </w:pPr>
      <w:r>
        <w:rPr>
          <w:rStyle w:val="clausesuff1"/>
          <w:rFonts w:ascii="Times New Roman" w:hAnsi="Times New Roman"/>
        </w:rPr>
        <w:t xml:space="preserve">ushbu Kodeksning 398-moddasiga muvofiq homilador ayolning, o‘n to‘rt yoshgacha bo‘lgan bola (o‘n olti yoshgacha bo‘lgan nogironligi bo‘lgan bola) ota-onasidan birining (ota-onaning o‘rnini bosuvchi shaxsning), shuningdek oilaning betob a’zosini parvarishlashni amalga oshirayotgan shaxsning iltimosiga ko‘ra tibbiy xulosaga binoan;</w:t>
      </w:r>
    </w:p>
    <w:p>
      <w:pPr>
        <w:ind w:firstLine="425"/>
        <w:spacing w:line="288" w:lineRule="auto"/>
        <w:rPr>
          <w:rStyle w:val="clausesuff1"/>
          <w:rFonts w:ascii="Times New Roman" w:hAnsi="Times New Roman"/>
        </w:rPr>
      </w:pPr>
      <w:r>
        <w:rPr>
          <w:rStyle w:val="clausesuff1"/>
          <w:rFonts w:ascii="Times New Roman" w:hAnsi="Times New Roman"/>
        </w:rPr>
        <w:t xml:space="preserve">nogironligi bo‘lgan shaxsning iltimosiga ko‘ra, agar mazkur shaxs uchun ish vaqtini belgilash ushbu Kodeks 424-moddasining ikkinchi qismiga muvofiq tibbiy-ijtimoiy ekspert komissiyasining tavsiyalarida nazarda tutilgan bo‘lsa;</w:t>
      </w:r>
    </w:p>
    <w:p>
      <w:pPr>
        <w:ind w:firstLine="425"/>
        <w:spacing w:line="288" w:lineRule="auto"/>
        <w:rPr>
          <w:rStyle w:val="clausesuff1"/>
          <w:rFonts w:ascii="Times New Roman" w:hAnsi="Times New Roman"/>
        </w:rPr>
      </w:pPr>
      <w:r>
        <w:rPr>
          <w:rStyle w:val="clausesuff1"/>
          <w:rFonts w:ascii="Times New Roman" w:hAnsi="Times New Roman"/>
        </w:rPr>
        <w:t xml:space="preserve">ushbu Kodeksda yoki mehnat haqidagi boshqa huquqiy hujjatlarda nazarda tutilgan o‘zga hollarda to‘liqsiz ish kunini belgilashi shart.</w:t>
      </w:r>
    </w:p>
    <w:p>
      <w:pPr>
        <w:ind w:firstLine="425"/>
        <w:spacing w:line="288" w:lineRule="auto"/>
        <w:rPr>
          <w:rStyle w:val="clausesuff1"/>
          <w:rFonts w:ascii="Times New Roman" w:hAnsi="Times New Roman"/>
        </w:rPr>
      </w:pPr>
      <w:r>
        <w:rPr>
          <w:rStyle w:val="clausesuff1"/>
          <w:rFonts w:ascii="Times New Roman" w:hAnsi="Times New Roman"/>
        </w:rPr>
        <w:t xml:space="preserve">Ushbu moddaning ikkinchi qismida sanab o‘tilgan shaxslar uchun to‘liqsiz ish vaqti xodim uchun qulay bo‘lgan muddatga, biroq to‘liqsiz ish vaqtini majburiy ravishda belgilash uchun asos bo‘lgan holatlar mavjud bo‘lgan davrdan ortiq bo‘lmagan muddatga belgilanadi, ish vaqtining va dam olish vaqtining rejimi, shu jumladan har kungi ishning (smenaning) davomiyligi, ishning boshlanish va tugash vaqti, ishdagi tanaffuslar vaqti esa ushbu ish beruvchidagi ishlab chiqarish (ish) sharoitlari hisobga olingan holda xodimning istaklariga muvofiq belgilanadi. Bunda nogironligi bo‘lgan shaxslar to‘liqsiz ish vaqtining davomiyligi va ish rejimi tibbiy-ijtimoiy ekspert komissiyasining tavsiyalariga muvofiq belgilanishi kerak.</w:t>
      </w:r>
    </w:p>
    <w:p>
      <w:pPr>
        <w:ind w:firstLine="425"/>
        <w:spacing w:line="288" w:lineRule="auto"/>
        <w:rPr>
          <w:rStyle w:val="clausesuff1"/>
          <w:rFonts w:ascii="Times New Roman" w:hAnsi="Times New Roman"/>
        </w:rPr>
      </w:pPr>
      <w:r>
        <w:rPr>
          <w:rStyle w:val="clausesuff1"/>
          <w:rFonts w:ascii="Times New Roman" w:hAnsi="Times New Roman"/>
        </w:rPr>
        <w:t xml:space="preserve">To‘liqsiz ish vaqti shartlarida ishlaganda xodimning mehnatiga haq to‘lash u ishlab bergan vaqtga mutanosib ravishda yoki u bajargan ishning hajmiga qarab amalga oshiriladi.</w:t>
      </w:r>
    </w:p>
    <w:p>
      <w:pPr>
        <w:ind w:firstLine="425"/>
        <w:spacing w:line="288" w:lineRule="auto"/>
        <w:rPr>
          <w:rStyle w:val="clausesuff1"/>
          <w:rFonts w:ascii="Times New Roman" w:hAnsi="Times New Roman"/>
        </w:rPr>
      </w:pPr>
      <w:r>
        <w:rPr>
          <w:rStyle w:val="clausesuff1"/>
          <w:rFonts w:ascii="Times New Roman" w:hAnsi="Times New Roman"/>
        </w:rPr>
        <w:t xml:space="preserve">To‘liqsiz ish vaqti shartlarida ishlash xodimlar uchun har yilgi asosiy mehnat ta’tili davomiyligining, mehnat stajini hisoblab chiqarishning va boshqa mehnat huquqlarining biror-bir cheklanishlariga sabab bo‘lmaydi.</w:t>
      </w:r>
    </w:p>
    <w:p>
      <w:pPr>
        <w:ind w:firstLine="709"/>
        <w:spacing w:before="120" w:after="120"/>
        <w:rPr>
          <w:rStyle w:val="clausesuff1"/>
          <w:rFonts w:ascii="Times New Roman" w:hAnsi="Times New Roman"/>
        </w:rPr>
      </w:pPr>
      <w:r>
        <w:rPr>
          <w:rStyle w:val="clausesuff1"/>
          <w:rFonts w:ascii="Times New Roman" w:hAnsi="Times New Roman"/>
        </w:rPr>
        <w:t xml:space="preserve">Mehnat kodeksining 186-moddasiga asosan xodimlarga to‘liqsiz ish vaqtini yaratish zaruriyatidan kelib chiqib, </w:t>
      </w:r>
    </w:p>
    <w:p>
      <w:pPr>
        <w:jc w:val="center"/>
        <w:ind w:firstLine="709"/>
        <w:spacing w:before="120" w:after="120"/>
        <w:rPr>
          <w:rStyle w:val="clausesuff1"/>
          <w:b/>
          <w:rFonts w:ascii="Times New Roman" w:hAnsi="Times New Roman"/>
        </w:rPr>
      </w:pPr>
      <w:r>
        <w:rPr>
          <w:rStyle w:val="clausesuff1"/>
          <w:b/>
          <w:rFonts w:ascii="Times New Roman" w:hAnsi="Times New Roman"/>
        </w:rPr>
        <w:t>BUYURAMAN</w:t>
      </w:r>
    </w:p>
    <w:p>
      <w:pPr>
        <w:ind w:firstLine="425"/>
        <w:spacing w:line="288" w:lineRule="auto"/>
      </w:pPr>
      <w:r>
        <w:rPr>
          <w:vanish w:val="false"/>
        </w:rPr>
        <w:fldChar w:fldCharType="begin"/>
        <w:instrText xml:space="preserve">X {"Y":14}</w:instrText>
        <w:fldChar w:fldCharType="separate"/>
      </w:r>
      <w:r>
        <w:rPr>
          <w:vanish w:val="false"/>
        </w:rPr>
        <w:t xml:space="preserve">Xodim ishga qabul qilinayotgan tashkilot nomi va tashkiliy huquqiy shakli</w:t>
        <w:fldChar w:fldCharType="end"/>
      </w:r>
      <w:r>
        <w:t xml:space="preserve">ning </w:t>
      </w:r>
      <w:r>
        <w:rPr>
          <w:vanish w:val="false"/>
        </w:rPr>
        <w:fldChar w:fldCharType="begin"/>
        <w:instrText xml:space="preserve">X {"Y":15}</w:instrText>
        <w:fldChar w:fldCharType="separate"/>
      </w:r>
      <w:r>
        <w:rPr>
          <w:vanish w:val="false"/>
        </w:rPr>
        <w:t xml:space="preserve">Xodim ishga qabul qilinayotgan bo‘lim nomi</w:t>
        <w:fldChar w:fldCharType="end"/>
      </w:r>
      <w:r>
        <w:t xml:space="preserve">da </w:t>
      </w:r>
      <w:r>
        <w:rPr>
          <w:vanish w:val="false"/>
        </w:rPr>
        <w:fldChar w:fldCharType="begin"/>
        <w:instrText xml:space="preserve">X {"Y":11}</w:instrText>
        <w:fldChar w:fldCharType="separate"/>
      </w:r>
      <w:r>
        <w:rPr>
          <w:vanish w:val="false"/>
        </w:rPr>
        <w:t xml:space="preserve">Xodimning lavozimi</w:t>
        <w:fldChar w:fldCharType="end"/>
      </w:r>
      <w:r>
        <w:t xml:space="preserve"> lavozimiga </w:t>
      </w:r>
      <w:r>
        <w:rPr>
          <w:vanish w:val="false"/>
        </w:rPr>
        <w:fldChar w:fldCharType="begin"/>
        <w:instrText xml:space="preserve">X {"Y":12}</w:instrText>
        <w:fldChar w:fldCharType="separate"/>
      </w:r>
      <w:r>
        <w:rPr>
          <w:vanish w:val="false"/>
        </w:rPr>
        <w:t xml:space="preserve">Xodimning F.I.O.si</w:t>
        <w:fldChar w:fldCharType="end"/>
      </w:r>
      <w:r>
        <w:t xml:space="preserve">ni </w:t>
      </w:r>
      <w:r>
        <w:rPr>
          <w:rStyle w:val="clausesuff1"/>
          <w:rFonts w:ascii="Times New Roman" w:hAnsi="Times New Roman"/>
        </w:rPr>
        <w:t xml:space="preserve">to‘liqsiz ish haftasi va </w:t>
      </w:r>
      <w:r>
        <w:rPr>
          <w:vanish w:val="false"/>
        </w:rPr>
        <w:fldChar w:fldCharType="begin"/>
        <w:instrText xml:space="preserve">X {"Y":16}</w:instrText>
        <w:fldChar w:fldCharType="separate"/>
      </w:r>
      <w:r>
        <w:rPr>
          <w:vanish w:val="false"/>
        </w:rPr>
        <w:t xml:space="preserve">Xodimga belgilangan sinov muddati </w:t>
        <w:fldChar w:fldCharType="end"/>
      </w:r>
      <w:r>
        <w:t xml:space="preserve"> </w:t>
      </w:r>
      <w:r>
        <w:rPr>
          <w:rStyle w:val="clausesuff1"/>
          <w:rFonts w:ascii="Times New Roman" w:hAnsi="Times New Roman"/>
        </w:rPr>
        <w:t xml:space="preserve">sinov mudati bilan  </w:t>
      </w:r>
      <w:r>
        <w:t xml:space="preserve">ishga qabul qilinsin.</w:t>
      </w:r>
    </w:p>
    <w:p>
      <w:pPr>
        <w:ind w:firstLine="425"/>
        <w:spacing w:line="288" w:lineRule="auto"/>
      </w:pPr>
      <w:r>
        <w:t xml:space="preserve">Ishni boshlash vaqti </w:t>
      </w:r>
      <w:r>
        <w:rPr>
          <w:vanish w:val="false"/>
        </w:rPr>
        <w:fldChar w:fldCharType="begin"/>
        <w:instrText xml:space="preserve">X {"Y":17}</w:instrText>
        <w:fldChar w:fldCharType="separate"/>
      </w:r>
      <w:r>
        <w:rPr>
          <w:vanish w:val="false"/>
        </w:rPr>
        <w:t xml:space="preserve">Xodimning ishga chiqish sanasi</w:t>
        <w:fldChar w:fldCharType="end"/>
      </w:r>
      <w:r>
        <w:t xml:space="preserve"> etib belgilansin.</w:t>
      </w:r>
    </w:p>
    <w:p>
      <w:pPr>
        <w:ind w:firstLine="425"/>
        <w:spacing w:line="288" w:lineRule="auto"/>
      </w:pPr>
      <w:r>
        <w:rPr>
          <w:vanish w:val="false"/>
        </w:rPr>
        <w:fldChar w:fldCharType="begin"/>
        <w:instrText xml:space="preserve">X {"Y":12}</w:instrText>
        <w:fldChar w:fldCharType="separate"/>
      </w:r>
      <w:r>
        <w:rPr>
          <w:vanish w:val="false"/>
        </w:rPr>
        <w:t xml:space="preserve">Xodimning F.I.O.si</w:t>
        <w:fldChar w:fldCharType="end"/>
      </w:r>
      <w:r>
        <w:t xml:space="preserve">ga to‘liqsiz ish kunlari </w:t>
      </w:r>
      <w:r>
        <w:rPr>
          <w:vanish w:val="false"/>
        </w:rPr>
        <w:fldChar w:fldCharType="begin"/>
        <w:instrText xml:space="preserve">X {"Y":18}</w:instrText>
        <w:fldChar w:fldCharType="separate"/>
      </w:r>
      <w:r>
        <w:rPr>
          <w:vanish w:val="false"/>
        </w:rPr>
        <w:t xml:space="preserve">Xodimning to‘liqsiz ish kuni </w:t>
        <w:fldChar w:fldCharType="end"/>
      </w:r>
      <w:r>
        <w:t xml:space="preserve"> etib belgilansin.</w:t>
      </w:r>
    </w:p>
    <w:p>
      <w:pPr>
        <w:ind w:firstLine="425"/>
        <w:spacing w:line="288" w:lineRule="auto"/>
      </w:pPr>
      <w:r>
        <w:rPr>
          <w:b/>
        </w:rPr>
        <w:t>2. </w:t>
      </w:r>
      <w:r>
        <w:t xml:space="preserve">Moliya iqtisod bo‘limi </w:t>
      </w:r>
      <w:r>
        <w:rPr>
          <w:rStyle w:val="clausesuff1"/>
          <w:b/>
          <w:rFonts w:ascii="Times New Roman" w:hAnsi="Times New Roman"/>
        </w:rPr>
        <w:t>(</w:t>
      </w:r>
      <w:r>
        <w:rPr>
          <w:vanish w:val="false"/>
        </w:rPr>
        <w:fldChar w:fldCharType="begin"/>
        <w:instrText xml:space="preserve">X {"Y":19}</w:instrText>
        <w:fldChar w:fldCharType="separate"/>
      </w:r>
      <w:r>
        <w:rPr>
          <w:vanish w:val="false"/>
        </w:rPr>
        <w:t xml:space="preserve">Moliya iqtisod bo‘limining ma’sul xodimi</w:t>
        <w:fldChar w:fldCharType="end"/>
      </w:r>
      <w:r>
        <w:rPr>
          <w:rStyle w:val="clausesuff1"/>
          <w:b/>
          <w:rFonts w:ascii="Times New Roman" w:hAnsi="Times New Roman"/>
        </w:rPr>
        <w:t>)</w:t>
      </w:r>
      <w:r>
        <w:t xml:space="preserve"> </w:t>
      </w:r>
      <w:r>
        <w:rPr>
          <w:vanish w:val="false"/>
        </w:rPr>
        <w:fldChar w:fldCharType="begin"/>
        <w:instrText xml:space="preserve">X {"Y":12}</w:instrText>
        <w:fldChar w:fldCharType="separate"/>
      </w:r>
      <w:r>
        <w:rPr>
          <w:vanish w:val="false"/>
        </w:rPr>
        <w:t xml:space="preserve">Xodimning F.I.O.si</w:t>
        <w:fldChar w:fldCharType="end"/>
      </w:r>
      <w:r>
        <w:t xml:space="preserve">ga tegishli to‘lovlarni amalga oshirsin.</w:t>
      </w:r>
    </w:p>
    <w:p>
      <w:pPr>
        <w:ind w:firstLine="708"/>
      </w:pPr>
    </w:p>
    <w:p>
      <w:pPr>
        <w:ind w:firstLine="708"/>
      </w:pPr>
      <w:r>
        <w:rPr>
          <w:b/>
        </w:rPr>
        <w:t>Asos:</w:t>
      </w:r>
      <w:r>
        <w:rPr>
          <w:vanish w:val="false"/>
        </w:rPr>
        <w:fldChar w:fldCharType="begin"/>
        <w:instrText xml:space="preserve">X {"Y":20}</w:instrText>
        <w:fldChar w:fldCharType="separate"/>
      </w:r>
      <w:r>
        <w:rPr>
          <w:vanish w:val="false"/>
        </w:rPr>
        <w:t xml:space="preserve">Asoslantiruvchi hujjatlar ro‘yxati</w:t>
        <w:fldChar w:fldCharType="end"/>
      </w:r>
      <w:r>
        <w:t>.</w:t>
      </w:r>
    </w:p>
    <w:p>
      <w:pPr>
        <w:ind w:firstLine="708"/>
      </w:pP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{"Y":9}</w:instrText>
              <w:fldChar w:fldCharType="separate"/>
            </w:r>
            <w:r>
              <w:rPr>
                <w:vanish w:val="false"/>
              </w:rPr>
              <w:t xml:space="preserve">Tashkilot rahbarining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{"Y":10}</w:instrText>
              <w:fldChar w:fldCharType="separate"/>
            </w:r>
            <w:r>
              <w:rPr>
                <w:vanish w:val="false"/>
              </w:rPr>
              <w:t xml:space="preserve">Tashkilot rahbarining F.I.O.si</w:t>
              <w:fldChar w:fldCharType="end"/>
            </w: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rPr>
                <w:b/>
              </w:rPr>
            </w:pPr>
            <w:r>
              <w:rPr>
                <w:b/>
              </w:rPr>
              <w:t xml:space="preserve">Buyruq bilan tanishdim </w:t>
            </w:r>
            <w:r>
              <w:rPr>
                <w:vanish w:val="false"/>
              </w:rPr>
              <w:fldChar w:fldCharType="begin"/>
              <w:instrText xml:space="preserve">X {"Y":11}</w:instrText>
              <w:fldChar w:fldCharType="separate"/>
            </w:r>
            <w:r>
              <w:rPr>
                <w:vanish w:val="false"/>
              </w:rPr>
              <w:t xml:space="preserve">Xodimning lavozimi</w:t>
              <w:fldChar w:fldCharType="end"/>
            </w: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{"Y":12}</w:instrText>
              <w:fldChar w:fldCharType="separate"/>
            </w:r>
            <w:r>
              <w:rPr>
                <w:vanish w:val="false"/>
              </w:rPr>
              <w:t xml:space="preserve">Xodimning F.I.O.si</w:t>
              <w:fldChar w:fldCharType="end"/>
            </w:r>
          </w:p>
        </w:tc>
      </w:tr>
    </w:tbl>
    <w:p/>
    <w:p>
      <w:pPr>
        <w:tabs>
          <w:tab w:val="left" w:pos="230"/>
        </w:tabs>
      </w:pPr>
    </w:p>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DD0"/>
    <w:rsid w:val="00066948"/>
    <w:rsid w:val="002A0A86"/>
    <w:rsid w:val="00743D84"/>
    <w:rsid w:val="00CC29D6"/>
    <w:rsid w:val="00E17E75"/>
    <w:rsid w:val="00EF4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58FC0"/>
  <w15:chartTrackingRefBased/>
  <w15:docId w15:val="{AC4DB0A4-9F3E-4AE6-A852-EF739436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A86"/>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2A0A86"/>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2024-02-29T08:55:00Z</dcterms:created>
  <dcterms:modified xsi:type="dcterms:W3CDTF">2024-02-29T08:55:00Z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To‘liqsiz ish kuni bilan ishga qabul qilish to‘g‘risida buyruq rekvizitlari</w:name>
    <w:value w:hidden="true">
      <w:unit w:active="false"/>
    </w:value>
  </w:element>
  <w:element w:id="2" w:kind="variable" w:selector="check" w:type="date" w:valueMode="normal" w:required="false" w:groupID="1">
    <w:identifier xml:space="preserve">ID2</w:identifier>
    <w:name xml:space="preserve">Buyruq qabul qilingan sana </w:name>
    <w:comment xml:space="preserve"/>
    <w:value w:hidden="false">
      <w:unit w:active="false"/>
    </w:value>
  </w:element>
  <w:element w:id="6" w:kind="variable" w:selector="check" w:type="number" w:valueMode="normal" w:required="false" w:groupID="1">
    <w:identifier xml:space="preserve">ID6</w:identifier>
    <w:name xml:space="preserve">Buyruq raqami </w:name>
    <w:comment xml:space="preserve"/>
    <w:value w:hidden="false">
      <w:unit w:active="false"/>
    </w:value>
  </w:element>
  <w:element w:id="7" w:kind="variable" w:selector="check" w:type="string" w:valueMode="normal" w:required="false" w:groupID="1">
    <w:identifier xml:space="preserve">ID7</w:identifier>
    <w:name xml:space="preserve">Buyruq qabul qilingan joy </w:name>
    <w:comment xml:space="preserve"/>
    <w:value w:hidden="false">
      <w:unit w:active="false"/>
    </w:value>
  </w:element>
  <w:element w:id="8" w:kind="category" w:selector="check" w:type="string" w:valueMode="normal" w:required="false">
    <w:identifier xml:space="preserve">ID8</w:identifier>
    <w:name xml:space="preserve">Taraflar</w:name>
    <w:value w:hidden="true">
      <w:unit w:active="false"/>
    </w:value>
  </w:element>
  <w:element w:id="9" w:kind="variable" w:selector="check" w:type="string" w:valueMode="normal" w:required="false" w:groupID="8">
    <w:identifier xml:space="preserve">ID9</w:identifier>
    <w:name xml:space="preserve">Tashkilot rahbarining lavozimi</w:name>
    <w:value w:hidden="false">
      <w:unit w:active="false"/>
    </w:value>
  </w:element>
  <w:element w:id="10" w:kind="variable" w:selector="check" w:type="string" w:valueMode="normal" w:required="false" w:groupID="8">
    <w:identifier xml:space="preserve">ID10</w:identifier>
    <w:name xml:space="preserve">Tashkilot rahbarining F.I.O.si</w:name>
    <w:value w:hidden="false">
      <w:unit w:active="false"/>
    </w:value>
  </w:element>
  <w:element w:id="11" w:kind="variable" w:selector="check" w:type="string" w:valueMode="normal" w:required="false" w:groupID="8">
    <w:identifier xml:space="preserve">ID11</w:identifier>
    <w:name xml:space="preserve">Xodimning lavozimi</w:name>
    <w:value w:hidden="false">
      <w:unit w:active="false"/>
    </w:value>
  </w:element>
  <w:element w:id="12" w:kind="variable" w:selector="check" w:type="string" w:valueMode="normal" w:required="false" w:groupID="8">
    <w:identifier xml:space="preserve">ID12</w:identifier>
    <w:name xml:space="preserve">Xodimning F.I.O.si</w:name>
    <w:value w:hidden="false">
      <w:unit w:active="false"/>
    </w:value>
  </w:element>
  <w:element w:id="13" w:kind="category" w:selector="check" w:type="string" w:valueMode="normal" w:required="false">
    <w:identifier xml:space="preserve">ID13</w:identifier>
    <w:name xml:space="preserve">Buyruq mazmuni</w:name>
    <w:value w:hidden="true">
      <w:unit w:active="false"/>
    </w:value>
  </w:element>
  <w:element w:id="14" w:kind="variable" w:selector="check" w:type="string" w:valueMode="normal" w:required="false" w:groupID="13">
    <w:identifier xml:space="preserve">ID14</w:identifier>
    <w:name xml:space="preserve">Xodim ishga qabul qilinayotgan tashkilot nomi va tashkiliy huquqiy shakli</w:name>
    <w:value w:hidden="false">
      <w:unit w:active="false"/>
    </w:value>
  </w:element>
  <w:element w:id="15" w:kind="variable" w:selector="check" w:type="string" w:valueMode="normal" w:required="false" w:groupID="13">
    <w:identifier xml:space="preserve">ID15</w:identifier>
    <w:name xml:space="preserve">Xodim ishga qabul qilinayotgan bo‘lim nomi</w:name>
    <w:value w:hidden="false">
      <w:unit w:active="false"/>
    </w:value>
  </w:element>
  <w:element w:id="16" w:kind="variable" w:selector="check" w:type="string" w:valueMode="normal" w:required="false" w:groupID="13">
    <w:identifier xml:space="preserve">ID16</w:identifier>
    <w:name xml:space="preserve">Xodimga belgilangan sinov muddati </w:name>
    <w:value w:hidden="false">
      <w:unit w:active="false"/>
    </w:value>
  </w:element>
  <w:element w:id="17" w:kind="variable" w:selector="check" w:type="string" w:valueMode="normal" w:required="false" w:groupID="13">
    <w:identifier xml:space="preserve">ID17</w:identifier>
    <w:name xml:space="preserve">Xodimning ishga chiqish sanasi</w:name>
    <w:value w:hidden="false">
      <w:unit w:active="false"/>
    </w:value>
  </w:element>
  <w:element w:id="18" w:kind="variable" w:selector="check" w:type="string" w:valueMode="normal" w:required="false" w:groupID="13">
    <w:identifier xml:space="preserve">ID18</w:identifier>
    <w:name xml:space="preserve">Xodimning to‘liqsiz ish kuni </w:name>
    <w:value w:hidden="false">
      <w:unit w:active="false"/>
    </w:value>
  </w:element>
  <w:element w:id="19" w:kind="variable" w:selector="check" w:type="string" w:valueMode="normal" w:required="false" w:groupID="13">
    <w:identifier xml:space="preserve">ID19</w:identifier>
    <w:name xml:space="preserve">Moliya iqtisod bo‘limining ma’sul xodimi</w:name>
    <w:value w:hidden="false">
      <w:unit w:active="false"/>
    </w:value>
  </w:element>
  <w:element w:id="20" w:kind="variable" w:selector="check" w:type="string" w:valueMode="normal" w:required="false" w:groupID="13">
    <w:identifier xml:space="preserve">ID20</w:identifier>
    <w:name xml:space="preserve">Asoslantiruvchi hujjatlar ro‘yxati</w:name>
    <w:value w:hidden="false">
      <w:unit w:active="false"/>
    </w:value>
  </w:element>
</w:structure>
</file>