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0"/>
        <w:rPr>
          <w:b/>
          <w:sz w:val="28"/>
          <w:rFonts w:ascii="Times New Roman" w:hAnsi="Times New Roman"/>
        </w:rPr>
      </w:pPr>
    </w:p>
    <w:tbl>
      <w:tblPr>
        <w:tblStyle w:val="a4"/>
        <w:tblW w:w="0" w:type="auto"/>
        <w:tblInd w:w="-34" w:type="dxa"/>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341"/>
        <w:gridCol w:w="2066"/>
        <w:gridCol w:w="5232"/>
      </w:tblGrid>
      <w:tr>
        <w:tc>
          <w:tcPr>
            <w:tcW w:w="2410" w:type="dxa"/>
          </w:tcPr>
          <w:p>
            <w:pPr>
              <w:pStyle w:val="ConsPlusNonformat"/>
              <w:spacing w:line="276" w:lineRule="auto"/>
              <w:rPr>
                <w:sz w:val="28"/>
                <w:rFonts w:ascii="Times New Roman" w:hAnsi="Times New Roman"/>
              </w:rPr>
            </w:pPr>
          </w:p>
        </w:tc>
        <w:tc>
          <w:tcPr>
            <w:tcW w:w="2127" w:type="dxa"/>
          </w:tcPr>
          <w:p>
            <w:pPr>
              <w:pStyle w:val="ConsPlusNonformat"/>
              <w:spacing w:line="276" w:lineRule="auto"/>
              <w:rPr>
                <w:sz w:val="28"/>
                <w:rFonts w:ascii="Times New Roman" w:hAnsi="Times New Roman"/>
              </w:rPr>
            </w:pPr>
          </w:p>
        </w:tc>
        <w:tc>
          <w:tcPr>
            <w:tcW w:w="5351" w:type="dxa"/>
          </w:tcPr>
          <w:p>
            <w:pPr>
              <w:pStyle w:val="ConsPlusNonformat"/>
              <w:jc w:val="both"/>
              <w:spacing w:line="276" w:lineRule="auto"/>
              <w:rPr>
                <w:b/>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Daʼvo ariza berilgan sud nomi</w:t>
              <w:fldChar w:fldCharType="end"/>
            </w:r>
            <w:r>
              <w:rPr>
                <w:sz w:val="28"/>
                <w:rFonts w:ascii="Times New Roman" w:hAnsi="Times New Roman"/>
              </w:rPr>
              <w:t xml:space="preserve"> tumanlararo sudiga</w:t>
            </w:r>
          </w:p>
        </w:tc>
      </w:tr>
      <w:tr>
        <w:tc>
          <w:tcPr>
            <w:tcW w:w="2410" w:type="dxa"/>
          </w:tcPr>
          <w:p>
            <w:pPr>
              <w:pStyle w:val="ConsPlusNonformat"/>
              <w:spacing w:line="276" w:lineRule="auto"/>
              <w:rPr>
                <w:sz w:val="28"/>
                <w:rFonts w:ascii="Times New Roman" w:hAnsi="Times New Roman"/>
              </w:rPr>
            </w:pPr>
          </w:p>
        </w:tc>
        <w:tc>
          <w:tcPr>
            <w:tcW w:w="2127" w:type="dxa"/>
          </w:tcPr>
          <w:p>
            <w:pPr>
              <w:pStyle w:val="ConsPlusNonformat"/>
              <w:spacing w:line="276" w:lineRule="auto"/>
              <w:rPr>
                <w:sz w:val="28"/>
                <w:rFonts w:ascii="Times New Roman" w:hAnsi="Times New Roman"/>
              </w:rPr>
            </w:pPr>
          </w:p>
        </w:tc>
        <w:tc>
          <w:tcPr>
            <w:tcW w:w="5351" w:type="dxa"/>
          </w:tcPr>
          <w:p>
            <w:pPr>
              <w:pStyle w:val="ConsPlusNonformat"/>
              <w:jc w:val="both"/>
              <w:spacing w:line="276" w:lineRule="auto"/>
              <w:rPr>
                <w:b/>
                <w:sz w:val="28"/>
                <w:rFonts w:ascii="Times New Roman" w:hAnsi="Times New Roman"/>
              </w:rPr>
            </w:pPr>
            <w:r>
              <w:rPr>
                <w:b/>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F.I.O.</w:t>
              <w:fldChar w:fldCharType="end"/>
            </w:r>
          </w:p>
        </w:tc>
      </w:tr>
      <w:tr>
        <w:tc>
          <w:tcPr>
            <w:tcW w:w="2410" w:type="dxa"/>
          </w:tcPr>
          <w:p>
            <w:pPr>
              <w:pStyle w:val="ConsPlusNonformat"/>
              <w:spacing w:line="276" w:lineRule="auto"/>
              <w:rPr>
                <w:sz w:val="28"/>
                <w:rFonts w:ascii="Times New Roman" w:hAnsi="Times New Roman"/>
              </w:rPr>
            </w:pPr>
          </w:p>
        </w:tc>
        <w:tc>
          <w:tcPr>
            <w:tcW w:w="2127" w:type="dxa"/>
          </w:tcPr>
          <w:p>
            <w:pPr>
              <w:pStyle w:val="ConsPlusNonformat"/>
              <w:spacing w:line="276" w:lineRule="auto"/>
              <w:rPr>
                <w:sz w:val="28"/>
                <w:rFonts w:ascii="Times New Roman" w:hAnsi="Times New Roman"/>
              </w:rPr>
            </w:pPr>
          </w:p>
        </w:tc>
        <w:tc>
          <w:tcPr>
            <w:tcW w:w="5351" w:type="dxa"/>
          </w:tcPr>
          <w:p>
            <w:pPr>
              <w:pStyle w:val="ConsPlusNonformat"/>
              <w:spacing w:line="276" w:lineRule="auto"/>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Daʼvogarning yashash manzili</w:t>
              <w:fldChar w:fldCharType="end"/>
            </w:r>
            <w:r>
              <w:rPr>
                <w:sz w:val="28"/>
                <w:rFonts w:ascii="Times New Roman" w:hAnsi="Times New Roman"/>
              </w:rPr>
              <w:t>,</w:t>
            </w:r>
          </w:p>
        </w:tc>
      </w:tr>
      <w:tr>
        <w:tc>
          <w:tcPr>
            <w:tcW w:w="2410" w:type="dxa"/>
          </w:tcPr>
          <w:p>
            <w:pPr>
              <w:pStyle w:val="ConsPlusNonformat"/>
              <w:spacing w:line="276" w:lineRule="auto"/>
              <w:rPr>
                <w:sz w:val="28"/>
                <w:rFonts w:ascii="Times New Roman" w:hAnsi="Times New Roman"/>
              </w:rPr>
            </w:pPr>
          </w:p>
        </w:tc>
        <w:tc>
          <w:tcPr>
            <w:tcW w:w="2127" w:type="dxa"/>
          </w:tcPr>
          <w:p>
            <w:pPr>
              <w:pStyle w:val="ConsPlusNonformat"/>
              <w:spacing w:line="276" w:lineRule="auto"/>
              <w:rPr>
                <w:sz w:val="28"/>
                <w:rFonts w:ascii="Times New Roman" w:hAnsi="Times New Roman"/>
              </w:rPr>
            </w:pPr>
          </w:p>
        </w:tc>
        <w:tc>
          <w:tcPr>
            <w:tcW w:w="5351" w:type="dxa"/>
          </w:tcPr>
          <w:p>
            <w:pPr>
              <w:pStyle w:val="ConsPlusNonformat"/>
              <w:spacing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Daʼvogarning telefon raqami</w:t>
              <w:fldChar w:fldCharType="end"/>
            </w:r>
            <w:r>
              <w:rPr>
                <w:sz w:val="28"/>
                <w:rFonts w:ascii="Times New Roman" w:hAnsi="Times New Roman"/>
              </w:rPr>
              <w:t>,</w:t>
            </w:r>
          </w:p>
        </w:tc>
      </w:tr>
      <w:tr>
        <w:tc>
          <w:tcPr>
            <w:tcW w:w="2410" w:type="dxa"/>
          </w:tcPr>
          <w:p>
            <w:pPr>
              <w:pStyle w:val="ConsPlusNonformat"/>
              <w:spacing w:line="276" w:lineRule="auto"/>
              <w:rPr>
                <w:sz w:val="28"/>
                <w:rFonts w:ascii="Times New Roman" w:hAnsi="Times New Roman"/>
              </w:rPr>
            </w:pPr>
          </w:p>
        </w:tc>
        <w:tc>
          <w:tcPr>
            <w:tcW w:w="2127" w:type="dxa"/>
          </w:tcPr>
          <w:p>
            <w:pPr>
              <w:pStyle w:val="ConsPlusNonformat"/>
              <w:spacing w:line="276" w:lineRule="auto"/>
              <w:rPr>
                <w:sz w:val="28"/>
                <w:rFonts w:ascii="Times New Roman" w:hAnsi="Times New Roman"/>
              </w:rPr>
            </w:pPr>
          </w:p>
        </w:tc>
        <w:tc>
          <w:tcPr>
            <w:tcW w:w="5351" w:type="dxa"/>
          </w:tcPr>
          <w:p>
            <w:pPr>
              <w:pStyle w:val="ConsPlusNonformat"/>
              <w:jc w:val="both"/>
              <w:spacing w:line="276" w:lineRule="auto"/>
              <w:rPr>
                <w:sz w:val="28"/>
                <w:rFonts w:ascii="Times New Roman" w:hAnsi="Times New Roman"/>
              </w:rPr>
            </w:pPr>
            <w:r>
              <w:rPr>
                <w:b/>
                <w:sz w:val="28"/>
                <w:rFonts w:ascii="Times New Roman" w:hAnsi="Times New Roman"/>
              </w:rPr>
              <w:t xml:space="preserve">Javobgar: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Javobgarning F.I.O.</w:t>
              <w:fldChar w:fldCharType="end"/>
            </w:r>
          </w:p>
        </w:tc>
      </w:tr>
      <w:tr>
        <w:tc>
          <w:tcPr>
            <w:tcW w:w="2410" w:type="dxa"/>
          </w:tcPr>
          <w:p>
            <w:pPr>
              <w:pStyle w:val="ConsPlusNonformat"/>
              <w:spacing w:line="276" w:lineRule="auto"/>
              <w:rPr>
                <w:sz w:val="28"/>
                <w:rFonts w:ascii="Times New Roman" w:hAnsi="Times New Roman"/>
              </w:rPr>
            </w:pPr>
          </w:p>
        </w:tc>
        <w:tc>
          <w:tcPr>
            <w:tcW w:w="2127" w:type="dxa"/>
          </w:tcPr>
          <w:p>
            <w:pPr>
              <w:pStyle w:val="ConsPlusNonformat"/>
              <w:spacing w:line="276" w:lineRule="auto"/>
              <w:rPr>
                <w:sz w:val="28"/>
                <w:rFonts w:ascii="Times New Roman" w:hAnsi="Times New Roman"/>
              </w:rPr>
            </w:pPr>
          </w:p>
        </w:tc>
        <w:tc>
          <w:tcPr>
            <w:tcW w:w="5351" w:type="dxa"/>
          </w:tcPr>
          <w:p>
            <w:pPr>
              <w:pStyle w:val="ConsPlusNonformat"/>
              <w:jc w:val="both"/>
              <w:spacing w:line="276" w:lineRule="auto"/>
              <w:rPr>
                <w:sz w:val="28"/>
                <w:rFonts w:ascii="Times New Roman" w:hAnsi="Times New Roman"/>
              </w:rPr>
            </w:pPr>
            <w:r>
              <w:rPr>
                <w:sz w:val="28"/>
                <w:rFonts w:ascii="Times New Roman" w:hAnsi="Times New Roman"/>
              </w:rPr>
              <w:t xml:space="preserve">Manzil: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Javobgarning yashash manzili</w:t>
              <w:fldChar w:fldCharType="end"/>
            </w:r>
            <w:r>
              <w:rPr>
                <w:sz w:val="28"/>
                <w:rFonts w:ascii="Times New Roman" w:hAnsi="Times New Roman"/>
              </w:rPr>
              <w:t>,</w:t>
            </w:r>
          </w:p>
        </w:tc>
      </w:tr>
      <w:tr>
        <w:tc>
          <w:tcPr>
            <w:tcW w:w="2410" w:type="dxa"/>
          </w:tcPr>
          <w:p>
            <w:pPr>
              <w:pStyle w:val="ConsPlusNonformat"/>
              <w:spacing w:line="276" w:lineRule="auto"/>
              <w:rPr>
                <w:sz w:val="28"/>
                <w:rFonts w:ascii="Times New Roman" w:hAnsi="Times New Roman"/>
              </w:rPr>
            </w:pPr>
          </w:p>
        </w:tc>
        <w:tc>
          <w:tcPr>
            <w:tcW w:w="2127" w:type="dxa"/>
          </w:tcPr>
          <w:p>
            <w:pPr>
              <w:pStyle w:val="ConsPlusNonformat"/>
              <w:spacing w:line="276" w:lineRule="auto"/>
              <w:rPr>
                <w:sz w:val="28"/>
                <w:rFonts w:ascii="Times New Roman" w:hAnsi="Times New Roman"/>
              </w:rPr>
            </w:pPr>
          </w:p>
        </w:tc>
        <w:tc>
          <w:tcPr>
            <w:tcW w:w="5351" w:type="dxa"/>
          </w:tcPr>
          <w:p>
            <w:pPr>
              <w:pStyle w:val="ConsPlusNonformat"/>
              <w:jc w:val="both"/>
              <w:spacing w:line="276" w:lineRule="auto"/>
              <w:rPr>
                <w:sz w:val="28"/>
                <w:rFonts w:ascii="Times New Roman" w:hAnsi="Times New Roman"/>
              </w:rPr>
            </w:pPr>
            <w:r>
              <w:rPr>
                <w:sz w:val="28"/>
                <w:rFonts w:ascii="Times New Roman" w:hAnsi="Times New Roman"/>
              </w:rPr>
              <w:t xml:space="preserve">Telefon: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Javobgarning telefon raqami</w:t>
              <w:fldChar w:fldCharType="end"/>
            </w:r>
            <w:r>
              <w:rPr>
                <w:sz w:val="28"/>
                <w:rFonts w:ascii="Times New Roman" w:hAnsi="Times New Roman"/>
              </w:rPr>
              <w:t xml:space="preserve">, </w:t>
            </w:r>
          </w:p>
        </w:tc>
      </w:tr>
    </w:tbl>
    <w:p>
      <w:pP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DAʼVO ARIZA</w:t>
      </w:r>
    </w:p>
    <w:p>
      <w:pPr>
        <w:jc w:val="center"/>
        <w:spacing w:after="0"/>
        <w:rPr>
          <w:sz w:val="28"/>
          <w:rFonts w:ascii="Times New Roman" w:hAnsi="Times New Roman"/>
        </w:rPr>
      </w:pPr>
      <w:r>
        <w:rPr>
          <w:sz w:val="28"/>
          <w:rFonts w:ascii="Times New Roman" w:hAnsi="Times New Roman"/>
        </w:rPr>
        <w:t xml:space="preserve">(Tovar belgisiga boʻlgan huquqni himoya qilish va yetkazilgan zararni undirish toʻgʻrisida)</w:t>
      </w:r>
    </w:p>
    <w:p>
      <w:pPr>
        <w:jc w:val="both"/>
        <w:ind w:firstLine="540"/>
        <w:spacing w:after="0"/>
        <w:rPr>
          <w:sz w:val="28"/>
          <w:rFonts w:ascii="Times New Roman" w:hAnsi="Times New Roman"/>
        </w:rPr>
      </w:pPr>
      <w:r>
        <w:rPr>
          <w:sz w:val="28"/>
          <w:rFonts w:ascii="Times New Roman" w:hAnsi="Times New Roman"/>
        </w:rPr>
        <w:t xml:space="preserve">Maʼlumki, Oʻzbekiston Respublikasi Fuqarolik kodeksining 1103-moddasiga asosan tovar belgisiga boʻlgan huquq egasi oʻziga tegishli belgidan foydalanishda va uni tasarruf etishda alohida huquqqa ega. Tovar belgisiga oʻzgartishlar va qoʻshimchalar kiritishdan iborat alohida huquq ham tovar belgisiga boʻlgan huquq egasiga tegishlidir. Tovar belgisini Qonunda belgilangan tartibda har qanday tarzda muomalaga kiritish undan foydalanish deb hisoblanadi. Tovar belgisini nashr etganda, uni koʻpchilik oldida ijro etganda yoki undan oʻzgacha tarzda foydalanganda tovar belgisining oʻziga ham, uning belgilariga ham biror-bir oʻzgartishlar kiritishga faqat unga boʻlgan huquq egasining roziligi bilan yoʻl qoʻyiladi. Tovar belgisining daxlsizligiga boʻlgan huquq tovar belgisiga boʻlgan huquq egasiga tegishlidir.</w:t>
      </w:r>
    </w:p>
    <w:p>
      <w:pPr>
        <w:jc w:val="both"/>
        <w:ind w:firstLine="540"/>
        <w:spacing w:after="0"/>
        <w:rPr>
          <w:sz w:val="28"/>
          <w:rFonts w:ascii="Times New Roman" w:hAnsi="Times New Roman"/>
        </w:rPr>
      </w:pPr>
      <w:r>
        <w:rPr>
          <w:sz w:val="28"/>
          <w:rFonts w:ascii="Times New Roman" w:hAnsi="Times New Roman"/>
        </w:rPr>
        <w:t xml:space="preserve">“Tovar belgilari, xizmat koʻrsatish belgilari va tovar kelib chiqqan joy nomlari toʻgʻrisida”gi Qonunning 6-moddasiga asosan tovar kelib chiqqan joy nomi huquqiy jihatdan uni Qonunda belgilangan tartibda roʻyxatdan oʻtkazish asosida, shuningdek Oʻzbekiston Respublikasining xalqaro shartnomalariga muvofiq ravishda muhofaza qilinadi.Tovar kelib chiqqan joy nomi mazkur joʻgʻrofiy obyektdagi, nomi oʻzlari ishlab chiqarayotgan tovarni belgilash uchun ishlatiladigan bir yoki bir necha yuridik yoki jismoniy shaxs tomonidan roʻyxatdan oʻtkazilishi mumkin.Tovar kelib chiqqan joy nomini roʻyxatdan oʻtkazgan shaxs bu nomdan, basharti mazkur shaxs alohida xususiyatlari tamomila yoki asosan mazkur joʻgʻrofiy obyektga xos tabiiy sharoitlar yoki boshqa omillar bilan yoxud tabiiy sharoitlar va ushbu omillarning birikmasi bilan belgilanadigan tovarni ishlab chiqarayotgan boʻlsa, foydalanish huquqini oladi.</w:t>
      </w:r>
    </w:p>
    <w:p>
      <w:pPr>
        <w:jc w:val="both"/>
        <w:ind w:firstLine="540"/>
        <w:spacing w:after="0"/>
        <w:rPr>
          <w:sz w:val="28"/>
          <w:rFonts w:ascii="Times New Roman" w:hAnsi="Times New Roman"/>
        </w:rPr>
      </w:pPr>
      <w:r>
        <w:rPr>
          <w:sz w:val="28"/>
          <w:rFonts w:ascii="Times New Roman" w:hAnsi="Times New Roman"/>
        </w:rPr>
        <w:t xml:space="preserve">Mazkur Qonunning 7-moddasida Oʻzbekiston Respublikasi Adliya vazirligi huzuridagi Intellektual mulk agentligi (bundan buyon matnda Agentlik deb yuritiladi) tovar belgilarini va tovar kelib chiqqan joy nomlarini muhofaza qilish sohasidagi vakolatli davlat organi hisoblanishi belgilangan. Men ushbu Agentlikka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Adliya vazirligi huzuridagi Intellektual mulk agentligiga murojaat qilingan sana</w:t>
        <w:fldChar w:fldCharType="end"/>
      </w:r>
      <w:r>
        <w:rPr>
          <w:sz w:val="28"/>
          <w:rFonts w:ascii="Times New Roman" w:hAnsi="Times New Roman"/>
        </w:rPr>
        <w:t xml:space="preserve"> sanasida tovar belgisiga boʻlgan huquqni himoya qilish boʻyicha murojaat qildim. Ammo murojaatim javobsiz qoldi. </w:t>
      </w:r>
    </w:p>
    <w:p>
      <w:pPr>
        <w:jc w:val="both"/>
        <w:ind w:firstLine="540"/>
        <w:spacing w:after="0"/>
        <w:rPr>
          <w:sz w:val="28"/>
          <w:rFonts w:ascii="Times New Roman" w:hAnsi="Times New Roman"/>
        </w:rPr>
      </w:pPr>
      <w:r>
        <w:rPr>
          <w:sz w:val="28"/>
          <w:rFonts w:ascii="Times New Roman" w:hAnsi="Times New Roman"/>
        </w:rPr>
        <w:t xml:space="preserve">Men rahbarlik qiladigan tashkilotning nomi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Tashkilotning to‘liq nomi</w:t>
        <w:fldChar w:fldCharType="end"/>
      </w:r>
      <w:r>
        <w:rPr>
          <w:sz w:val="28"/>
          <w:rFonts w:ascii="Times New Roman" w:hAnsi="Times New Roman"/>
        </w:rPr>
        <w:t xml:space="preserve"> boʻlib, tovar belgisining xususiyatlari quyidagilardir:</w:t>
      </w:r>
    </w:p>
    <w:p>
      <w:pPr>
        <w:jc w:val="both"/>
        <w:ind w:firstLine="540"/>
        <w:spacing w:after="0"/>
        <w:rPr>
          <w:sz w:val="28"/>
          <w:rFonts w:ascii="Times New Roman" w:hAnsi="Times New Roman"/>
        </w:rPr>
      </w:pPr>
      <w:r>
        <w:rPr>
          <w:sz w:val="28"/>
          <w:rFonts w:ascii="Times New Roman" w:hAnsi="Times New Roman"/>
        </w:rPr>
        <w:t xml:space="preserve">Tovar beligisining toʻliq nomi: </w:t>
      </w:r>
      <w:r>
        <w:rPr>
          <w:vanish w:val="false"/>
          <w:sz w:val="28"/>
          <w:rFonts w:ascii="Times New Roman" w:hAnsi="Times New Roman"/>
        </w:rPr>
        <w:fldChar w:fldCharType="begin"/>
        <w:instrText xml:space="preserve">X {"Y":15}</w:instrText>
        <w:fldChar w:fldCharType="separate"/>
      </w:r>
      <w:r>
        <w:rPr>
          <w:vanish w:val="false"/>
          <w:sz w:val="28"/>
          <w:rFonts w:ascii="Times New Roman" w:hAnsi="Times New Roman"/>
        </w:rPr>
        <w:t xml:space="preserve">Tovar beligsining to‘liq nomi</w:t>
        <w:fldChar w:fldCharType="end"/>
      </w:r>
      <w:r>
        <w:rPr>
          <w:sz w:val="28"/>
          <w:rFonts w:ascii="Times New Roman" w:hAnsi="Times New Roman"/>
        </w:rPr>
        <w:t>;</w:t>
      </w:r>
    </w:p>
    <w:p>
      <w:pPr>
        <w:jc w:val="both"/>
        <w:ind w:firstLine="540"/>
        <w:spacing w:after="0"/>
        <w:rPr>
          <w:sz w:val="28"/>
          <w:rFonts w:ascii="Times New Roman" w:hAnsi="Times New Roman"/>
        </w:rPr>
      </w:pPr>
      <w:r>
        <w:rPr>
          <w:sz w:val="28"/>
          <w:rFonts w:ascii="Times New Roman" w:hAnsi="Times New Roman"/>
        </w:rPr>
        <w:t xml:space="preserve">Tovar beligisi roʻyxatdan oʻtkazilgan sana va raqami: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Tovar beligisi ro‘yxatdan o‘tkazilgan sana va raqami</w:t>
        <w:fldChar w:fldCharType="end"/>
      </w:r>
      <w:r>
        <w:rPr>
          <w:sz w:val="28"/>
          <w:rFonts w:ascii="Times New Roman" w:hAnsi="Times New Roman"/>
        </w:rPr>
        <w:t>;</w:t>
      </w:r>
    </w:p>
    <w:p>
      <w:pPr>
        <w:jc w:val="both"/>
        <w:ind w:firstLine="540"/>
        <w:spacing w:after="0"/>
        <w:rPr>
          <w:sz w:val="28"/>
          <w:rFonts w:ascii="Times New Roman" w:hAnsi="Times New Roman"/>
        </w:rPr>
      </w:pPr>
      <w:r>
        <w:rPr>
          <w:sz w:val="28"/>
          <w:rFonts w:ascii="Times New Roman" w:hAnsi="Times New Roman"/>
        </w:rPr>
        <w:t xml:space="preserve">Tovar belgisi (xizmat koʻrsatish belgisi) roʻyxatga olinganligi toʻgʻrisidagi guvohnoma qabul qilingan sana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Tovar belgisi (xizmat ko‘rsatish belgisi) ro‘yxatga olinganligi to‘g‘risidagi guvohnoma qabul qilingan sana</w:t>
        <w:fldChar w:fldCharType="end"/>
      </w:r>
      <w:r>
        <w:rPr>
          <w:sz w:val="28"/>
          <w:rFonts w:ascii="Times New Roman" w:hAnsi="Times New Roman"/>
        </w:rPr>
        <w:t xml:space="preserve"> va Tovar belgisi (xizmat koʻrsatish belgisi) roʻyxatga olinganligi toʻgʻrisidagi guvohnoma raqami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Tovar belgisi (xizmat ko‘rsatish belgisi) ro‘yxatga olinganligi to‘g‘risidagi guvohnoma raqami</w:t>
        <w:fldChar w:fldCharType="end"/>
      </w:r>
      <w:r>
        <w:rPr>
          <w:sz w:val="28"/>
          <w:rFonts w:ascii="Times New Roman" w:hAnsi="Times New Roman"/>
        </w:rPr>
        <w:t>.</w:t>
      </w:r>
    </w:p>
    <w:p>
      <w:pPr>
        <w:jc w:val="both"/>
        <w:ind w:firstLine="540"/>
        <w:spacing w:after="0"/>
        <w:rPr>
          <w:sz w:val="28"/>
          <w:rFonts w:ascii="Times New Roman" w:hAnsi="Times New Roman"/>
        </w:rPr>
      </w:pPr>
      <w:r>
        <w:rPr>
          <w:sz w:val="28"/>
          <w:rFonts w:ascii="Times New Roman" w:hAnsi="Times New Roman"/>
        </w:rPr>
        <w:t xml:space="preserve">Tashkilotimizga tegishli mazkur tovar belgisi Javobgarga tegishli boʻlgan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Javobgarning tegishli bo‘lgan tashkilotning to‘liq nomi (Tashkiliy huquqiy shakli va boshqa rekvizitlari)</w:t>
        <w:fldChar w:fldCharType="end"/>
      </w:r>
      <w:r>
        <w:rPr>
          <w:sz w:val="28"/>
          <w:rFonts w:ascii="Times New Roman" w:hAnsi="Times New Roman"/>
        </w:rPr>
        <w:t xml:space="preserve"> tomonidan hech qanday kelishuv va ruxsatnomasiz oʻzining tadbirkorlik faoliyatida foydalanib kelmoqda. Buning natijasida tashkilotimiz faoliyatiga va obroʻsiga jiddiy ziyon yetmoqda. Buning oqibatida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Yetkazilgan zarar miqdori</w:t>
        <w:fldChar w:fldCharType="end"/>
      </w:r>
      <w:r>
        <w:rPr>
          <w:sz w:val="28"/>
          <w:rFonts w:ascii="Times New Roman" w:hAnsi="Times New Roman"/>
        </w:rPr>
        <w:t xml:space="preserve"> soʻm miqdorida zarar yetdi.</w:t>
      </w:r>
    </w:p>
    <w:p>
      <w:pPr>
        <w:jc w:val="both"/>
        <w:ind w:firstLine="540"/>
        <w:spacing w:after="0"/>
        <w:rPr>
          <w:sz w:val="28"/>
          <w:rFonts w:ascii="Times New Roman" w:hAnsi="Times New Roman"/>
        </w:rPr>
      </w:pPr>
      <w:r>
        <w:rPr>
          <w:sz w:val="28"/>
          <w:rFonts w:ascii="Times New Roman" w:hAnsi="Times New Roman"/>
        </w:rPr>
        <w:t xml:space="preserve">Fuqarolik kodeksining 1107-moddasida tovar belgisidan qonunga xilof ravishda foydalanayotgan shaxs qoidabuzarlikni toʻxtatishi va tovar belgisining egasiga yetkazilgan zararni toʻlashi shartligi; tovar belgisidan qonunga xilof ravishda foydalanayotgan shaxs tayyorlab qoʻyilgan tovar belgisi tasvirlarini yoʻq qilishi, qonunga xilof ravishda foydalanayotgan tovar belgisini yoki almashtirib yuborish darajasida unga oʻxshash boʻlgan belgini tovardan yoki uning idishi va oʻrovidan yoʻqotishi shartligi, hamda ushbu belgilab qoʻyilgan talablarni bajarishning iloji boʻlmagan taqdirda, tegishli tovar yoʻq qilib tashlanishi lozimligi belgilangan.</w:t>
      </w:r>
    </w:p>
    <w:p>
      <w:pPr>
        <w:jc w:val="both"/>
        <w:ind w:firstLine="540"/>
        <w:spacing w:after="0"/>
        <w:rPr>
          <w:sz w:val="28"/>
          <w:rFonts w:ascii="Times New Roman" w:hAnsi="Times New Roman"/>
        </w:rPr>
      </w:pPr>
      <w:r>
        <w:rPr>
          <w:sz w:val="28"/>
          <w:rFonts w:ascii="Times New Roman" w:hAnsi="Times New Roman"/>
        </w:rPr>
        <w:t xml:space="preserve">Yuqoridagilardan kelib chiqib, Oʻzbekiston Respublikasi Fuqarolik kodeksining 11, 14, 1103, 1107-moddalariga asosan,</w:t>
      </w:r>
    </w:p>
    <w:p>
      <w:pPr>
        <w:jc w:val="both"/>
        <w:ind w:firstLine="540"/>
        <w:spacing w:after="0"/>
        <w:rPr>
          <w:sz w:val="28"/>
          <w:rFonts w:ascii="Times New Roman" w:hAnsi="Times New Roman"/>
        </w:rPr>
      </w:pPr>
    </w:p>
    <w:p>
      <w:pPr>
        <w:jc w:val="center"/>
        <w:ind w:firstLine="540"/>
        <w:spacing w:after="0"/>
        <w:rPr>
          <w:b/>
          <w:sz w:val="28"/>
          <w:rFonts w:ascii="Times New Roman" w:hAnsi="Times New Roman"/>
        </w:rPr>
      </w:pPr>
      <w:r>
        <w:rPr>
          <w:b/>
          <w:sz w:val="28"/>
          <w:rFonts w:ascii="Times New Roman" w:hAnsi="Times New Roman"/>
        </w:rPr>
        <w:t>SOʻRAYMAN:</w:t>
      </w:r>
    </w:p>
    <w:p>
      <w:pPr>
        <w:jc w:val="center"/>
        <w:ind w:firstLine="540"/>
        <w:spacing w:after="0"/>
        <w:rPr>
          <w:b/>
          <w:sz w:val="28"/>
          <w:rFonts w:ascii="Times New Roman" w:hAnsi="Times New Roman"/>
        </w:rPr>
      </w:pPr>
    </w:p>
    <w:p>
      <w:pPr>
        <w:jc w:val="both"/>
        <w:ind w:firstLine="540"/>
        <w:spacing w:after="0"/>
        <w:rPr>
          <w:sz w:val="28"/>
          <w:rFonts w:ascii="Times New Roman" w:hAnsi="Times New Roman"/>
        </w:rPr>
      </w:pP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Tashkilotning to‘liq nomi</w:t>
        <w:fldChar w:fldCharType="end"/>
      </w:r>
      <w:r>
        <w:rPr>
          <w:sz w:val="28"/>
          <w:rFonts w:ascii="Times New Roman" w:hAnsi="Times New Roman"/>
        </w:rPr>
        <w:t xml:space="preserve">ga tegishli boʻlgan yuqorida xususiyatlari keltirilgan tovar belgisini Javobgar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Javobgarning tegishli bo‘lgan tashkilotning to‘liq nomi (Tashkiliy huquqiy shakli va boshqa rekvizitlari)</w:t>
        <w:fldChar w:fldCharType="end"/>
      </w:r>
      <w:r>
        <w:rPr>
          <w:sz w:val="28"/>
          <w:rFonts w:ascii="Times New Roman" w:hAnsi="Times New Roman"/>
        </w:rPr>
        <w:t xml:space="preserve"> tomonidan noqonuniy foydalanilayotganligi uchun mazkur tovar belgisiga boʻlgan huquqni himoya qilishingizni.</w:t>
      </w:r>
    </w:p>
    <w:p>
      <w:pPr>
        <w:jc w:val="both"/>
        <w:ind w:firstLine="540"/>
        <w:spacing w:after="0"/>
        <w:rPr>
          <w:sz w:val="28"/>
          <w:rFonts w:ascii="Times New Roman" w:hAnsi="Times New Roman"/>
        </w:rPr>
      </w:pPr>
      <w:r>
        <w:rPr>
          <w:sz w:val="28"/>
          <w:rFonts w:ascii="Times New Roman" w:hAnsi="Times New Roman"/>
        </w:rPr>
        <w:t xml:space="preserve">Tovar belgisining noqonuniy foydalanganligi uchun yetkazilgan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Tovar belgisining noqonuniy foydalanganligi uchun yetkazilgan moddiy zarar miqdori</w:t>
        <w:fldChar w:fldCharType="end"/>
      </w:r>
      <w:r>
        <w:rPr>
          <w:sz w:val="28"/>
          <w:rFonts w:ascii="Times New Roman" w:hAnsi="Times New Roman"/>
        </w:rPr>
        <w:t xml:space="preserve"> soʻm miqdoridagi moddiy va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Tovar belgisining noqonuniy foydalanganligi uchun yetkazilgan maʼnaviy zarar miqdori</w:t>
        <w:fldChar w:fldCharType="end"/>
      </w:r>
      <w:r>
        <w:rPr>
          <w:sz w:val="28"/>
          <w:rFonts w:ascii="Times New Roman" w:hAnsi="Times New Roman"/>
        </w:rPr>
        <w:t xml:space="preserve"> soʻm miqdoridagi maʼnaviy zararni undirib berishingizni.</w:t>
      </w:r>
    </w:p>
    <w:p>
      <w:pPr>
        <w:jc w:val="both"/>
        <w:ind w:firstLine="540"/>
        <w:spacing w:after="0"/>
        <w:rPr>
          <w:sz w:val="28"/>
          <w:rFonts w:ascii="Times New Roman" w:hAnsi="Times New Roman"/>
        </w:rPr>
      </w:pPr>
    </w:p>
    <w:p>
      <w:pPr>
        <w:jc w:val="both"/>
        <w:ind w:firstLine="540"/>
        <w:spacing w:after="0"/>
        <w:rPr>
          <w:sz w:val="28"/>
          <w:rFonts w:ascii="Times New Roman" w:hAnsi="Times New Roman"/>
        </w:rPr>
      </w:pPr>
      <w:r>
        <w:rPr>
          <w:sz w:val="28"/>
          <w:rFonts w:ascii="Times New Roman" w:hAnsi="Times New Roman"/>
        </w:rPr>
        <w:t xml:space="preserve">Ilova: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Ilova qilingan hujjatlar ro‘yxati</w:t>
        <w:fldChar w:fldCharType="end"/>
      </w:r>
    </w:p>
    <w:p>
      <w:pPr>
        <w:jc w:val="both"/>
        <w:ind w:firstLine="540"/>
        <w:spacing w:after="0"/>
        <w:rPr>
          <w:sz w:val="28"/>
          <w:rFonts w:ascii="Times New Roman" w:hAnsi="Times New Roman"/>
        </w:rPr>
      </w:pPr>
    </w:p>
    <w:p>
      <w:pPr>
        <w:pStyle w:val="ConsPlusNonformat"/>
        <w:spacing w:line="276" w:lineRule="auto"/>
        <w:rPr>
          <w:sz w:val="28"/>
          <w:rFonts w:ascii="Times New Roman" w:hAnsi="Times New Roman"/>
        </w:rPr>
      </w:pPr>
      <w:r>
        <w:rPr>
          <w:sz w:val="28"/>
          <w:rFonts w:ascii="Times New Roman" w:hAnsi="Times New Roman"/>
        </w:rPr>
        <w:t xml:space="preserve">Daʼvogar: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Daʼvogarning F.I.O.</w:t>
        <w:fldChar w:fldCharType="end"/>
      </w:r>
      <w:r>
        <w:rPr>
          <w:sz w:val="28"/>
          <w:rFonts w:ascii="Times New Roman" w:hAnsi="Times New Roman"/>
        </w:rPr>
        <w:t xml:space="preserve"> ________ </w:t>
      </w: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Daʼvo arizasi imzolangan sana</w:t>
        <w:fldChar w:fldCharType="end"/>
      </w:r>
    </w:p>
    <w:sectPr>
      <w:pgSz w:w="11906" w:h="16838"/>
      <w:pgMar w:left="1134" w:right="1134"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E3D"/>
    <w:rsid w:val="000053FE"/>
    <w:rsid w:val="00047C00"/>
    <w:rsid w:val="000D4601"/>
    <w:rsid w:val="000F3E3D"/>
    <w:rsid w:val="001644FD"/>
    <w:rsid w:val="00263C05"/>
    <w:rsid w:val="002860ED"/>
    <w:rsid w:val="002A488F"/>
    <w:rsid w:val="002C380E"/>
    <w:rsid w:val="002D21A0"/>
    <w:rsid w:val="002D381F"/>
    <w:rsid w:val="00340745"/>
    <w:rsid w:val="003A2ACE"/>
    <w:rsid w:val="003F38D9"/>
    <w:rsid w:val="00430807"/>
    <w:rsid w:val="00442308"/>
    <w:rsid w:val="00474EE9"/>
    <w:rsid w:val="004B6A99"/>
    <w:rsid w:val="004D1F2F"/>
    <w:rsid w:val="00532D12"/>
    <w:rsid w:val="00554E7A"/>
    <w:rsid w:val="00585689"/>
    <w:rsid w:val="00622A15"/>
    <w:rsid w:val="00652F5A"/>
    <w:rsid w:val="00731BEF"/>
    <w:rsid w:val="008055BD"/>
    <w:rsid w:val="00816B1B"/>
    <w:rsid w:val="008623AA"/>
    <w:rsid w:val="00882122"/>
    <w:rsid w:val="00886220"/>
    <w:rsid w:val="008A2F84"/>
    <w:rsid w:val="008A3ABA"/>
    <w:rsid w:val="008F7C9B"/>
    <w:rsid w:val="009005E8"/>
    <w:rsid w:val="009345C0"/>
    <w:rsid w:val="00943D74"/>
    <w:rsid w:val="009530EB"/>
    <w:rsid w:val="009A2DDC"/>
    <w:rsid w:val="00A05C3A"/>
    <w:rsid w:val="00A513C8"/>
    <w:rsid w:val="00AB359C"/>
    <w:rsid w:val="00AD272B"/>
    <w:rsid w:val="00B12F8F"/>
    <w:rsid w:val="00B2109D"/>
    <w:rsid w:val="00BA480D"/>
    <w:rsid w:val="00BA4870"/>
    <w:rsid w:val="00C0211B"/>
    <w:rsid w:val="00C27E51"/>
    <w:rsid w:val="00C35DA2"/>
    <w:rsid w:val="00C42C62"/>
    <w:rsid w:val="00C46C18"/>
    <w:rsid w:val="00C738F6"/>
    <w:rsid w:val="00D044A2"/>
    <w:rsid w:val="00D11F34"/>
    <w:rsid w:val="00D34E55"/>
    <w:rsid w:val="00D75D3B"/>
    <w:rsid w:val="00D869CE"/>
    <w:rsid w:val="00D87920"/>
    <w:rsid w:val="00E8066E"/>
    <w:rsid w:val="00EC1E46"/>
    <w:rsid w:val="00F41B98"/>
    <w:rsid w:val="00F44F6C"/>
    <w:rsid w:val="00F71A00"/>
    <w:rsid w:val="00F77B3A"/>
    <w:rsid w:val="00F869A0"/>
    <w:rsid w:val="00F948C9"/>
    <w:rsid w:val="00FF1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1B27B4-D599-4214-BCC8-D85B05BC9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D74"/>
    <w:rPr>
      <w:rFonts w:ascii="Calibri" w:eastAsia="Calibri"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943D7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nformat0">
    <w:name w:val="consplusnonformat"/>
    <w:basedOn w:val="a"/>
    <w:rsid w:val="008055B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ructures">
    <w:name w:val="structures"/>
    <w:basedOn w:val="a0"/>
    <w:rsid w:val="008055BD"/>
  </w:style>
  <w:style w:type="paragraph" w:styleId="a3">
    <w:name w:val="List Paragraph"/>
    <w:basedOn w:val="a"/>
    <w:uiPriority w:val="34"/>
    <w:qFormat/>
    <w:rsid w:val="009345C0"/>
    <w:pPr>
      <w:ind w:left="720"/>
      <w:contextualSpacing/>
    </w:pPr>
  </w:style>
  <w:style w:type="table" w:styleId="a4">
    <w:name w:val="Table Grid"/>
    <w:basedOn w:val="a1"/>
    <w:uiPriority w:val="59"/>
    <w:rsid w:val="003F38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852587">
      <w:bodyDiv w:val="1"/>
      <w:marLeft w:val="0"/>
      <w:marRight w:val="0"/>
      <w:marTop w:val="0"/>
      <w:marBottom w:val="0"/>
      <w:divBdr>
        <w:top w:val="none" w:sz="0" w:space="0" w:color="auto"/>
        <w:left w:val="none" w:sz="0" w:space="0" w:color="auto"/>
        <w:bottom w:val="none" w:sz="0" w:space="0" w:color="auto"/>
        <w:right w:val="none" w:sz="0" w:space="0" w:color="auto"/>
      </w:divBdr>
      <w:divsChild>
        <w:div w:id="398750071">
          <w:marLeft w:val="0"/>
          <w:marRight w:val="0"/>
          <w:marTop w:val="0"/>
          <w:marBottom w:val="150"/>
          <w:divBdr>
            <w:top w:val="none" w:sz="0" w:space="0" w:color="auto"/>
            <w:left w:val="none" w:sz="0" w:space="0" w:color="auto"/>
            <w:bottom w:val="none" w:sz="0" w:space="0" w:color="auto"/>
            <w:right w:val="none" w:sz="0" w:space="0" w:color="auto"/>
          </w:divBdr>
        </w:div>
        <w:div w:id="32925988">
          <w:marLeft w:val="0"/>
          <w:marRight w:val="0"/>
          <w:marTop w:val="0"/>
          <w:marBottom w:val="150"/>
          <w:divBdr>
            <w:top w:val="none" w:sz="0" w:space="0" w:color="auto"/>
            <w:left w:val="none" w:sz="0" w:space="0" w:color="auto"/>
            <w:bottom w:val="none" w:sz="0" w:space="0" w:color="auto"/>
            <w:right w:val="none" w:sz="0" w:space="0" w:color="auto"/>
          </w:divBdr>
        </w:div>
        <w:div w:id="531646919">
          <w:marLeft w:val="0"/>
          <w:marRight w:val="0"/>
          <w:marTop w:val="0"/>
          <w:marBottom w:val="150"/>
          <w:divBdr>
            <w:top w:val="none" w:sz="0" w:space="0" w:color="auto"/>
            <w:left w:val="none" w:sz="0" w:space="0" w:color="auto"/>
            <w:bottom w:val="none" w:sz="0" w:space="0" w:color="auto"/>
            <w:right w:val="none" w:sz="0" w:space="0" w:color="auto"/>
          </w:divBdr>
        </w:div>
        <w:div w:id="1988320673">
          <w:marLeft w:val="0"/>
          <w:marRight w:val="0"/>
          <w:marTop w:val="0"/>
          <w:marBottom w:val="150"/>
          <w:divBdr>
            <w:top w:val="none" w:sz="0" w:space="0" w:color="auto"/>
            <w:left w:val="none" w:sz="0" w:space="0" w:color="auto"/>
            <w:bottom w:val="none" w:sz="0" w:space="0" w:color="auto"/>
            <w:right w:val="none" w:sz="0" w:space="0" w:color="auto"/>
          </w:divBdr>
        </w:div>
        <w:div w:id="373431685">
          <w:marLeft w:val="0"/>
          <w:marRight w:val="0"/>
          <w:marTop w:val="0"/>
          <w:marBottom w:val="150"/>
          <w:divBdr>
            <w:top w:val="none" w:sz="0" w:space="0" w:color="auto"/>
            <w:left w:val="none" w:sz="0" w:space="0" w:color="auto"/>
            <w:bottom w:val="none" w:sz="0" w:space="0" w:color="auto"/>
            <w:right w:val="none" w:sz="0" w:space="0" w:color="auto"/>
          </w:divBdr>
        </w:div>
        <w:div w:id="1996227872">
          <w:marLeft w:val="0"/>
          <w:marRight w:val="0"/>
          <w:marTop w:val="0"/>
          <w:marBottom w:val="150"/>
          <w:divBdr>
            <w:top w:val="none" w:sz="0" w:space="0" w:color="auto"/>
            <w:left w:val="none" w:sz="0" w:space="0" w:color="auto"/>
            <w:bottom w:val="none" w:sz="0" w:space="0" w:color="auto"/>
            <w:right w:val="none" w:sz="0" w:space="0" w:color="auto"/>
          </w:divBdr>
        </w:div>
      </w:divsChild>
    </w:div>
    <w:div w:id="1082870190">
      <w:bodyDiv w:val="1"/>
      <w:marLeft w:val="0"/>
      <w:marRight w:val="0"/>
      <w:marTop w:val="0"/>
      <w:marBottom w:val="0"/>
      <w:divBdr>
        <w:top w:val="none" w:sz="0" w:space="0" w:color="auto"/>
        <w:left w:val="none" w:sz="0" w:space="0" w:color="auto"/>
        <w:bottom w:val="none" w:sz="0" w:space="0" w:color="auto"/>
        <w:right w:val="none" w:sz="0" w:space="0" w:color="auto"/>
      </w:divBdr>
      <w:divsChild>
        <w:div w:id="2115467950">
          <w:marLeft w:val="0"/>
          <w:marRight w:val="0"/>
          <w:marTop w:val="0"/>
          <w:marBottom w:val="150"/>
          <w:divBdr>
            <w:top w:val="none" w:sz="0" w:space="0" w:color="auto"/>
            <w:left w:val="none" w:sz="0" w:space="0" w:color="auto"/>
            <w:bottom w:val="none" w:sz="0" w:space="0" w:color="auto"/>
            <w:right w:val="none" w:sz="0" w:space="0" w:color="auto"/>
          </w:divBdr>
        </w:div>
        <w:div w:id="158620274">
          <w:marLeft w:val="0"/>
          <w:marRight w:val="0"/>
          <w:marTop w:val="0"/>
          <w:marBottom w:val="150"/>
          <w:divBdr>
            <w:top w:val="none" w:sz="0" w:space="0" w:color="auto"/>
            <w:left w:val="none" w:sz="0" w:space="0" w:color="auto"/>
            <w:bottom w:val="none" w:sz="0" w:space="0" w:color="auto"/>
            <w:right w:val="none" w:sz="0" w:space="0" w:color="auto"/>
          </w:divBdr>
        </w:div>
        <w:div w:id="1655138255">
          <w:marLeft w:val="0"/>
          <w:marRight w:val="0"/>
          <w:marTop w:val="0"/>
          <w:marBottom w:val="150"/>
          <w:divBdr>
            <w:top w:val="none" w:sz="0" w:space="0" w:color="auto"/>
            <w:left w:val="none" w:sz="0" w:space="0" w:color="auto"/>
            <w:bottom w:val="none" w:sz="0" w:space="0" w:color="auto"/>
            <w:right w:val="none" w:sz="0" w:space="0" w:color="auto"/>
          </w:divBdr>
        </w:div>
        <w:div w:id="611135889">
          <w:marLeft w:val="0"/>
          <w:marRight w:val="0"/>
          <w:marTop w:val="0"/>
          <w:marBottom w:val="150"/>
          <w:divBdr>
            <w:top w:val="none" w:sz="0" w:space="0" w:color="auto"/>
            <w:left w:val="none" w:sz="0" w:space="0" w:color="auto"/>
            <w:bottom w:val="none" w:sz="0" w:space="0" w:color="auto"/>
            <w:right w:val="none" w:sz="0" w:space="0" w:color="auto"/>
          </w:divBdr>
        </w:div>
        <w:div w:id="696585850">
          <w:marLeft w:val="0"/>
          <w:marRight w:val="0"/>
          <w:marTop w:val="0"/>
          <w:marBottom w:val="150"/>
          <w:divBdr>
            <w:top w:val="none" w:sz="0" w:space="0" w:color="auto"/>
            <w:left w:val="none" w:sz="0" w:space="0" w:color="auto"/>
            <w:bottom w:val="none" w:sz="0" w:space="0" w:color="auto"/>
            <w:right w:val="none" w:sz="0" w:space="0" w:color="auto"/>
          </w:divBdr>
        </w:div>
        <w:div w:id="2060278261">
          <w:marLeft w:val="0"/>
          <w:marRight w:val="0"/>
          <w:marTop w:val="0"/>
          <w:marBottom w:val="150"/>
          <w:divBdr>
            <w:top w:val="none" w:sz="0" w:space="0" w:color="auto"/>
            <w:left w:val="none" w:sz="0" w:space="0" w:color="auto"/>
            <w:bottom w:val="none" w:sz="0" w:space="0" w:color="auto"/>
            <w:right w:val="none" w:sz="0" w:space="0" w:color="auto"/>
          </w:divBdr>
        </w:div>
      </w:divsChild>
    </w:div>
    <w:div w:id="1517110191">
      <w:bodyDiv w:val="1"/>
      <w:marLeft w:val="0"/>
      <w:marRight w:val="0"/>
      <w:marTop w:val="0"/>
      <w:marBottom w:val="0"/>
      <w:divBdr>
        <w:top w:val="none" w:sz="0" w:space="0" w:color="auto"/>
        <w:left w:val="none" w:sz="0" w:space="0" w:color="auto"/>
        <w:bottom w:val="none" w:sz="0" w:space="0" w:color="auto"/>
        <w:right w:val="none" w:sz="0" w:space="0" w:color="auto"/>
      </w:divBdr>
      <w:divsChild>
        <w:div w:id="1280993565">
          <w:marLeft w:val="0"/>
          <w:marRight w:val="0"/>
          <w:marTop w:val="0"/>
          <w:marBottom w:val="150"/>
          <w:divBdr>
            <w:top w:val="none" w:sz="0" w:space="0" w:color="auto"/>
            <w:left w:val="none" w:sz="0" w:space="0" w:color="auto"/>
            <w:bottom w:val="none" w:sz="0" w:space="0" w:color="auto"/>
            <w:right w:val="none" w:sz="0" w:space="0" w:color="auto"/>
          </w:divBdr>
        </w:div>
        <w:div w:id="880484346">
          <w:marLeft w:val="0"/>
          <w:marRight w:val="0"/>
          <w:marTop w:val="0"/>
          <w:marBottom w:val="150"/>
          <w:divBdr>
            <w:top w:val="none" w:sz="0" w:space="0" w:color="auto"/>
            <w:left w:val="none" w:sz="0" w:space="0" w:color="auto"/>
            <w:bottom w:val="none" w:sz="0" w:space="0" w:color="auto"/>
            <w:right w:val="none" w:sz="0" w:space="0" w:color="auto"/>
          </w:divBdr>
        </w:div>
      </w:divsChild>
    </w:div>
    <w:div w:id="1588419760">
      <w:bodyDiv w:val="1"/>
      <w:marLeft w:val="0"/>
      <w:marRight w:val="0"/>
      <w:marTop w:val="0"/>
      <w:marBottom w:val="0"/>
      <w:divBdr>
        <w:top w:val="none" w:sz="0" w:space="0" w:color="auto"/>
        <w:left w:val="none" w:sz="0" w:space="0" w:color="auto"/>
        <w:bottom w:val="none" w:sz="0" w:space="0" w:color="auto"/>
        <w:right w:val="none" w:sz="0" w:space="0" w:color="auto"/>
      </w:divBdr>
    </w:div>
    <w:div w:id="1701055137">
      <w:bodyDiv w:val="1"/>
      <w:marLeft w:val="0"/>
      <w:marRight w:val="0"/>
      <w:marTop w:val="0"/>
      <w:marBottom w:val="0"/>
      <w:divBdr>
        <w:top w:val="none" w:sz="0" w:space="0" w:color="auto"/>
        <w:left w:val="none" w:sz="0" w:space="0" w:color="auto"/>
        <w:bottom w:val="none" w:sz="0" w:space="0" w:color="auto"/>
        <w:right w:val="none" w:sz="0" w:space="0" w:color="auto"/>
      </w:divBdr>
      <w:divsChild>
        <w:div w:id="1671592964">
          <w:marLeft w:val="0"/>
          <w:marRight w:val="0"/>
          <w:marTop w:val="0"/>
          <w:marBottom w:val="150"/>
          <w:divBdr>
            <w:top w:val="none" w:sz="0" w:space="0" w:color="auto"/>
            <w:left w:val="none" w:sz="0" w:space="0" w:color="auto"/>
            <w:bottom w:val="none" w:sz="0" w:space="0" w:color="auto"/>
            <w:right w:val="none" w:sz="0" w:space="0" w:color="auto"/>
          </w:divBdr>
        </w:div>
        <w:div w:id="1686127803">
          <w:marLeft w:val="0"/>
          <w:marRight w:val="0"/>
          <w:marTop w:val="0"/>
          <w:marBottom w:val="150"/>
          <w:divBdr>
            <w:top w:val="none" w:sz="0" w:space="0" w:color="auto"/>
            <w:left w:val="none" w:sz="0" w:space="0" w:color="auto"/>
            <w:bottom w:val="none" w:sz="0" w:space="0" w:color="auto"/>
            <w:right w:val="none" w:sz="0" w:space="0" w:color="auto"/>
          </w:divBdr>
        </w:div>
        <w:div w:id="1701390942">
          <w:marLeft w:val="0"/>
          <w:marRight w:val="0"/>
          <w:marTop w:val="0"/>
          <w:marBottom w:val="150"/>
          <w:divBdr>
            <w:top w:val="none" w:sz="0" w:space="0" w:color="auto"/>
            <w:left w:val="none" w:sz="0" w:space="0" w:color="auto"/>
            <w:bottom w:val="none" w:sz="0" w:space="0" w:color="auto"/>
            <w:right w:val="none" w:sz="0" w:space="0" w:color="auto"/>
          </w:divBdr>
        </w:div>
      </w:divsChild>
    </w:div>
    <w:div w:id="1964656932">
      <w:bodyDiv w:val="1"/>
      <w:marLeft w:val="0"/>
      <w:marRight w:val="0"/>
      <w:marTop w:val="0"/>
      <w:marBottom w:val="0"/>
      <w:divBdr>
        <w:top w:val="none" w:sz="0" w:space="0" w:color="auto"/>
        <w:left w:val="none" w:sz="0" w:space="0" w:color="auto"/>
        <w:bottom w:val="none" w:sz="0" w:space="0" w:color="auto"/>
        <w:right w:val="none" w:sz="0" w:space="0" w:color="auto"/>
      </w:divBdr>
      <w:divsChild>
        <w:div w:id="1661539236">
          <w:marLeft w:val="0"/>
          <w:marRight w:val="0"/>
          <w:marTop w:val="0"/>
          <w:marBottom w:val="150"/>
          <w:divBdr>
            <w:top w:val="none" w:sz="0" w:space="0" w:color="auto"/>
            <w:left w:val="none" w:sz="0" w:space="0" w:color="auto"/>
            <w:bottom w:val="none" w:sz="0" w:space="0" w:color="auto"/>
            <w:right w:val="none" w:sz="0" w:space="0" w:color="auto"/>
          </w:divBdr>
        </w:div>
        <w:div w:id="2087913993">
          <w:marLeft w:val="0"/>
          <w:marRight w:val="0"/>
          <w:marTop w:val="0"/>
          <w:marBottom w:val="150"/>
          <w:divBdr>
            <w:top w:val="none" w:sz="0" w:space="0" w:color="auto"/>
            <w:left w:val="none" w:sz="0" w:space="0" w:color="auto"/>
            <w:bottom w:val="none" w:sz="0" w:space="0" w:color="auto"/>
            <w:right w:val="none" w:sz="0" w:space="0" w:color="auto"/>
          </w:divBdr>
        </w:div>
        <w:div w:id="2032611221">
          <w:marLeft w:val="0"/>
          <w:marRight w:val="0"/>
          <w:marTop w:val="0"/>
          <w:marBottom w:val="150"/>
          <w:divBdr>
            <w:top w:val="none" w:sz="0" w:space="0" w:color="auto"/>
            <w:left w:val="none" w:sz="0" w:space="0" w:color="auto"/>
            <w:bottom w:val="none" w:sz="0" w:space="0" w:color="auto"/>
            <w:right w:val="none" w:sz="0" w:space="0" w:color="auto"/>
          </w:divBdr>
        </w:div>
      </w:divsChild>
    </w:div>
    <w:div w:id="2143186233">
      <w:bodyDiv w:val="1"/>
      <w:marLeft w:val="0"/>
      <w:marRight w:val="0"/>
      <w:marTop w:val="0"/>
      <w:marBottom w:val="0"/>
      <w:divBdr>
        <w:top w:val="none" w:sz="0" w:space="0" w:color="auto"/>
        <w:left w:val="none" w:sz="0" w:space="0" w:color="auto"/>
        <w:bottom w:val="none" w:sz="0" w:space="0" w:color="auto"/>
        <w:right w:val="none" w:sz="0" w:space="0" w:color="auto"/>
      </w:divBdr>
      <w:divsChild>
        <w:div w:id="439029450">
          <w:marLeft w:val="0"/>
          <w:marRight w:val="0"/>
          <w:marTop w:val="0"/>
          <w:marBottom w:val="150"/>
          <w:divBdr>
            <w:top w:val="none" w:sz="0" w:space="0" w:color="auto"/>
            <w:left w:val="none" w:sz="0" w:space="0" w:color="auto"/>
            <w:bottom w:val="none" w:sz="0" w:space="0" w:color="auto"/>
            <w:right w:val="none" w:sz="0" w:space="0" w:color="auto"/>
          </w:divBdr>
        </w:div>
        <w:div w:id="1815953765">
          <w:marLeft w:val="0"/>
          <w:marRight w:val="0"/>
          <w:marTop w:val="0"/>
          <w:marBottom w:val="150"/>
          <w:divBdr>
            <w:top w:val="none" w:sz="0" w:space="0" w:color="auto"/>
            <w:left w:val="none" w:sz="0" w:space="0" w:color="auto"/>
            <w:bottom w:val="none" w:sz="0" w:space="0" w:color="auto"/>
            <w:right w:val="none" w:sz="0" w:space="0" w:color="auto"/>
          </w:divBdr>
        </w:div>
        <w:div w:id="1636910705">
          <w:marLeft w:val="0"/>
          <w:marRight w:val="0"/>
          <w:marTop w:val="0"/>
          <w:marBottom w:val="150"/>
          <w:divBdr>
            <w:top w:val="none" w:sz="0" w:space="0" w:color="auto"/>
            <w:left w:val="none" w:sz="0" w:space="0" w:color="auto"/>
            <w:bottom w:val="none" w:sz="0" w:space="0" w:color="auto"/>
            <w:right w:val="none" w:sz="0" w:space="0" w:color="auto"/>
          </w:divBdr>
        </w:div>
        <w:div w:id="17145534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893</Words>
  <Characters>5096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YB</dc:creator>
  <cp:keywords/>
  <dc:description/>
  <cp:lastModifiedBy>Shakarboy Goyibnazarov</cp:lastModifiedBy>
  <cp:revision>2</cp:revision>
  <dcterms:created xsi:type="dcterms:W3CDTF">2022-08-22T14:29:00Z</dcterms:created>
  <dcterms:modified xsi:type="dcterms:W3CDTF">2022-08-22T14:29:00Z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Daʼvo arizasining rekvizitlari</w:name>
    <w:value w:hidden="true">
      <w:unit w:active="false"/>
    </w:value>
  </w:element>
  <w:element w:id="2" w:kind="variable" w:selector="check" w:type="string" w:valueMode="normal" w:required="false" w:groupID="1">
    <w:identifier xml:space="preserve">ID2</w:identifier>
    <w:name xml:space="preserve">Daʼvo ariza berilgan sud nomi</w:name>
    <w:value w:hidden="false">
      <w:unit w:active="false"/>
    </w:value>
  </w:element>
  <w:element w:id="3" w:kind="variable" w:selector="check" w:type="string" w:valueMode="normal" w:required="false" w:groupID="1">
    <w:identifier xml:space="preserve">ID3</w:identifier>
    <w:name xml:space="preserve">Daʼvo arizasi imzolangan sana</w:name>
    <w:value w:hidden="false">
      <w:unit w:active="false"/>
    </w:value>
  </w:element>
  <w:element w:id="4" w:kind="category" w:selector="check" w:type="string" w:valueMode="normal" w:required="false">
    <w:identifier xml:space="preserve">ID4</w:identifier>
    <w:name xml:space="preserve">Daʼvogar</w:name>
    <w:value w:hidden="true">
      <w:unit w:active="false"/>
    </w:value>
  </w:element>
  <w:element w:id="5" w:kind="variable" w:selector="check" w:type="string" w:valueMode="normal" w:required="false" w:groupID="4">
    <w:identifier xml:space="preserve">ID5</w:identifier>
    <w:name xml:space="preserve">Daʼvogarning F.I.O.</w:name>
    <w:value w:hidden="false">
      <w:unit w:active="false"/>
    </w:value>
  </w:element>
  <w:element w:id="6" w:kind="variable" w:selector="check" w:type="string" w:valueMode="normal" w:required="false" w:groupID="4">
    <w:identifier xml:space="preserve">ID6</w:identifier>
    <w:name xml:space="preserve">Daʼvogarning yashash manzili</w:name>
    <w:value w:hidden="false">
      <w:unit w:active="false"/>
    </w:value>
  </w:element>
  <w:element w:id="7" w:kind="variable" w:selector="check" w:type="string" w:valueMode="normal" w:required="false" w:groupID="4">
    <w:identifier xml:space="preserve">ID7</w:identifier>
    <w:name xml:space="preserve">Daʼvogarning telefon raqami</w:name>
    <w:value w:hidden="false">
      <w:unit w:active="false"/>
    </w:value>
  </w:element>
  <w:element w:id="8" w:kind="category" w:selector="check" w:type="string" w:valueMode="normal" w:required="false">
    <w:identifier xml:space="preserve">ID8</w:identifier>
    <w:name xml:space="preserve">Javobgar</w:name>
    <w:value w:hidden="true">
      <w:unit w:active="false"/>
    </w:value>
  </w:element>
  <w:element w:id="9" w:kind="variable" w:selector="check" w:type="string" w:valueMode="normal" w:required="false" w:groupID="8">
    <w:identifier xml:space="preserve">ID9</w:identifier>
    <w:name xml:space="preserve">Javobgarning F.I.O.</w:name>
    <w:value w:hidden="false">
      <w:unit w:active="false"/>
    </w:value>
  </w:element>
  <w:element w:id="10" w:kind="variable" w:selector="check" w:type="string" w:valueMode="normal" w:required="false" w:groupID="8">
    <w:identifier xml:space="preserve">ID10</w:identifier>
    <w:name xml:space="preserve">Javobgarning yashash manzili</w:name>
    <w:value w:hidden="false">
      <w:unit w:active="false"/>
    </w:value>
  </w:element>
  <w:element w:id="11" w:kind="variable" w:selector="check" w:type="string" w:valueMode="normal" w:required="false" w:groupID="8">
    <w:identifier xml:space="preserve">ID11</w:identifier>
    <w:name xml:space="preserve">Javobgarning telefon raqami</w:name>
    <w:value w:hidden="false">
      <w:unit w:active="false"/>
    </w:value>
  </w:element>
  <w:element w:id="12" w:kind="category" w:selector="check" w:type="string" w:valueMode="normal" w:required="false">
    <w:identifier xml:space="preserve">ID12</w:identifier>
    <w:name xml:space="preserve">Daʼvo arizasining mazmuni</w:name>
    <w:value w:hidden="true">
      <w:unit w:active="false"/>
    </w:value>
  </w:element>
  <w:element w:id="13" w:kind="variable" w:selector="check" w:type="string" w:valueMode="normal" w:required="false" w:groupID="12">
    <w:identifier xml:space="preserve">ID13</w:identifier>
    <w:name xml:space="preserve">Adliya vazirligi huzuridagi Intellektual mulk agentligiga murojaat qilingan sana</w:name>
    <w:value w:hidden="false">
      <w:unit w:active="false"/>
    </w:value>
  </w:element>
  <w:element w:id="14" w:kind="variable" w:selector="check" w:type="string" w:valueMode="normal" w:required="false" w:groupID="12">
    <w:identifier xml:space="preserve">ID14</w:identifier>
    <w:name xml:space="preserve">Tashkilotning to‘liq nomi</w:name>
    <w:value w:hidden="false">
      <w:unit w:active="false"/>
    </w:value>
  </w:element>
  <w:element w:id="15" w:kind="variable" w:selector="check" w:type="string" w:valueMode="normal" w:required="false" w:groupID="12">
    <w:identifier xml:space="preserve">ID15</w:identifier>
    <w:name xml:space="preserve">Tovar beligsining to‘liq nomi</w:name>
    <w:value w:hidden="false">
      <w:unit w:active="false"/>
    </w:value>
  </w:element>
  <w:element w:id="16" w:kind="variable" w:selector="check" w:type="string" w:valueMode="normal" w:required="false" w:groupID="12">
    <w:identifier xml:space="preserve">ID16</w:identifier>
    <w:name xml:space="preserve">Tovar beligisi ro‘yxatdan o‘tkazilgan sana va raqami</w:name>
    <w:value w:hidden="false">
      <w:unit w:active="false"/>
    </w:value>
  </w:element>
  <w:element w:id="17" w:kind="variable" w:selector="check" w:type="string" w:valueMode="normal" w:required="false" w:groupID="12">
    <w:identifier xml:space="preserve">ID17</w:identifier>
    <w:name xml:space="preserve">Tovar belgisi (xizmat ko‘rsatish belgisi) ro‘yxatga olinganligi to‘g‘risidagi guvohnoma qabul qilingan sana</w:name>
    <w:value w:hidden="false">
      <w:unit w:active="false"/>
    </w:value>
  </w:element>
  <w:element w:id="18" w:kind="variable" w:selector="check" w:type="string" w:valueMode="normal" w:required="false" w:groupID="12">
    <w:identifier xml:space="preserve">ID18</w:identifier>
    <w:name xml:space="preserve">Tovar belgisi (xizmat ko‘rsatish belgisi) ro‘yxatga olinganligi to‘g‘risidagi guvohnoma raqami</w:name>
    <w:value w:hidden="false">
      <w:unit w:active="false"/>
    </w:value>
  </w:element>
  <w:element w:id="19" w:kind="variable" w:selector="check" w:type="string" w:valueMode="normal" w:required="false" w:groupID="12">
    <w:identifier xml:space="preserve">ID19</w:identifier>
    <w:name xml:space="preserve">Javobgarning tegishli bo‘lgan tashkilotning to‘liq nomi (Tashkiliy huquqiy shakli va boshqa rekvizitlari)</w:name>
    <w:value w:hidden="false">
      <w:unit w:active="false"/>
    </w:value>
  </w:element>
  <w:element w:id="20" w:kind="variable" w:selector="check" w:type="string" w:valueMode="normal" w:required="false" w:groupID="12">
    <w:identifier xml:space="preserve">ID20</w:identifier>
    <w:name xml:space="preserve">Yetkazilgan zarar miqdori</w:name>
    <w:value w:hidden="false">
      <w:unit w:active="false"/>
    </w:value>
  </w:element>
  <w:element w:id="21" w:kind="variable" w:selector="check" w:type="string" w:valueMode="normal" w:required="false" w:groupID="12">
    <w:identifier xml:space="preserve">ID21</w:identifier>
    <w:name xml:space="preserve">Tovar belgisining noqonuniy foydalanganligi uchun yetkazilgan moddiy zarar miqdori</w:name>
    <w:value w:hidden="false">
      <w:unit w:active="false"/>
    </w:value>
  </w:element>
  <w:element w:id="22" w:kind="variable" w:selector="check" w:type="string" w:valueMode="normal" w:required="false" w:groupID="12">
    <w:identifier xml:space="preserve">ID22</w:identifier>
    <w:name xml:space="preserve">Tovar belgisining noqonuniy foydalanganligi uchun yetkazilgan maʼnaviy zarar miqdori</w:name>
    <w:value w:hidden="false">
      <w:unit w:active="false"/>
    </w:value>
  </w:element>
  <w:element w:id="23" w:kind="variable" w:selector="check" w:type="string" w:valueMode="normal" w:required="false" w:groupID="12">
    <w:identifier xml:space="preserve">ID23</w:identifier>
    <w:name xml:space="preserve">Ilova qilingan hujjatlar ro‘yxati</w:name>
    <w:value w:hidden="false">
      <w:unit w:active="false"/>
    </w:value>
  </w:element>
</w:structure>
</file>