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4"/>
          <w:rFonts w:ascii="Times New Roman" w:hAnsi="Times New Roman"/>
        </w:rPr>
        <w:t>SHARTNOMA</w:t>
      </w:r>
    </w:p>
    <w:p>
      <w:pPr>
        <w:jc w:val="center"/>
        <w:ind w:firstLine="425"/>
        <w:spacing w:after="0" w:line="288" w:lineRule="auto"/>
        <w:rPr>
          <w:b/>
          <w:sz w:val="24"/>
          <w:rFonts w:ascii="Times New Roman" w:hAnsi="Times New Roman"/>
        </w:rPr>
      </w:pPr>
      <w:r>
        <w:rPr>
          <w:b/>
          <w:sz w:val="24"/>
          <w:rFonts w:ascii="Times New Roman" w:hAnsi="Times New Roman"/>
        </w:rPr>
        <w:t xml:space="preserve">transport xizmatlarini koʻrsatish toʻgʻrisida </w:t>
      </w:r>
    </w:p>
    <w:p>
      <w:pPr>
        <w:jc w:val="center"/>
        <w:ind w:firstLine="425"/>
        <w:spacing w:after="0" w:line="288" w:lineRule="auto"/>
        <w:rPr>
          <w:b/>
          <w:sz w:val="24"/>
          <w:rFonts w:ascii="Times New Roman" w:hAnsi="Times New Roman"/>
        </w:rPr>
      </w:pPr>
    </w:p>
    <w:tbl>
      <w:tblPr>
        <w:tblW w:w="9634" w:type="dxa"/>
      </w:tblPr>
      <w:tblGrid>
        <w:gridCol w:w="3115"/>
        <w:gridCol w:w="3115"/>
        <w:gridCol w:w="3404"/>
      </w:tblGrid>
      <w:tr>
        <w:tc>
          <w:tcPr>
            <w:tcW w:w="3115" w:type="dxa"/>
            <w:shd w:fill="auto"/>
          </w:tcPr>
          <w:p>
            <w:pPr>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ind w:firstLine="35"/>
              <w:spacing w:line="288"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404" w:type="dxa"/>
            <w:shd w:fill="auto"/>
          </w:tcPr>
          <w:p>
            <w:pPr>
              <w:jc w:val="right"/>
              <w:ind w:firstLine="31"/>
              <w:spacing w:line="288"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{"Y":4}</w:instrText>
              <w:fldChar w:fldCharType="separate"/>
              <w:t xml:space="preserve">Shartnoma </w:t>
            </w:r>
            <w:r>
              <w:rPr>
                <w:vanish w:val="false"/>
                <w:sz w:val="28"/>
                <w:rFonts w:ascii="Times New Roman" w:hAnsi="Times New Roman"/>
              </w:rPr>
              <w:fldChar w:fldCharType="end"/>
            </w:r>
          </w:p>
        </w:tc>
      </w:tr>
    </w:tbl>
    <w:p>
      <w:pPr>
        <w:jc w:val="center"/>
        <w:ind w:firstLine="425"/>
        <w:spacing w:after="0" w:line="288" w:lineRule="auto"/>
        <w:rPr>
          <w:b/>
          <w:sz w:val="24"/>
          <w:rFonts w:ascii="Times New Roman" w:hAnsi="Times New Roman"/>
        </w:rPr>
      </w:pP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Buyurtmachi tashkilotning nomi, tashkiliy huquqiy shakli</w:t>
      </w:r>
      <w:r>
        <w:rPr>
          <w:vanish w:val="false"/>
          <w:sz w:val="28"/>
          <w:rFonts w:ascii="Times New Roman" w:hAnsi="Times New Roman"/>
        </w:rPr>
        <w:fldChar w:fldCharType="end"/>
      </w:r>
      <w:r>
        <w:rPr>
          <w:sz w:val="28"/>
          <w:rFonts w:ascii="Times New Roman" w:hAnsi="Times New Roman"/>
        </w:rPr>
        <w:t xml:space="preserve">ning (keyingi oʻrinlarda “Buyurtmachi” deb yuritiladi) </w:t>
      </w:r>
      <w:r>
        <w:rPr>
          <w:vanish w:val="false"/>
          <w:sz w:val="28"/>
          <w:rFonts w:ascii="Times New Roman" w:hAnsi="Times New Roman"/>
        </w:rPr>
        <w:fldChar w:fldCharType="begin"/>
        <w:instrText xml:space="preserve">X {"Y":7}</w:instrText>
        <w:fldChar w:fldCharType="separate"/>
        <w:t xml:space="preserve">Buyurtmachiga shartnoma tuzish huquqini beruvchi hujjat</w:t>
      </w:r>
      <w:r>
        <w:rPr>
          <w:vanish w:val="false"/>
          <w:sz w:val="28"/>
          <w:rFonts w:ascii="Times New Roman" w:hAnsi="Times New Roman"/>
        </w:rPr>
        <w:fldChar w:fldCharType="end"/>
      </w:r>
      <w:r>
        <w:rPr>
          <w:sz w:val="28"/>
          <w:rFonts w:ascii="Times New Roman" w:hAnsi="Times New Roman"/>
        </w:rPr>
        <w:t xml:space="preserve"> asosida harakat qiluvchi </w:t>
      </w:r>
      <w:r>
        <w:rPr>
          <w:vanish w:val="false"/>
          <w:sz w:val="28"/>
          <w:rFonts w:ascii="Times New Roman" w:hAnsi="Times New Roman"/>
        </w:rPr>
        <w:fldChar w:fldCharType="begin"/>
        <w:instrText xml:space="preserve">X {"Y":8}</w:instrText>
        <w:fldChar w:fldCharType="separate"/>
        <w:t xml:space="preserve">Buyurtmachi tomonidan imzo chekuvchi shaxsning lavozimi va F.I.O.si</w:t>
      </w:r>
      <w:r>
        <w:rPr>
          <w:vanish w:val="false"/>
          <w:sz w:val="28"/>
          <w:rFonts w:ascii="Times New Roman" w:hAnsi="Times New Roman"/>
        </w:rPr>
        <w:fldChar w:fldCharType="end"/>
      </w:r>
      <w:r>
        <w:rPr>
          <w:sz w:val="28"/>
          <w:rFonts w:ascii="Times New Roman" w:hAnsi="Times New Roman"/>
        </w:rPr>
        <w:t xml:space="preserve"> bir tarafdan, hamda </w:t>
      </w:r>
      <w:r>
        <w:rPr>
          <w:vanish w:val="false"/>
          <w:sz w:val="28"/>
          <w:rFonts w:ascii="Times New Roman" w:hAnsi="Times New Roman"/>
        </w:rPr>
        <w:fldChar w:fldCharType="begin"/>
        <w:instrText xml:space="preserve">X {"Y":15}</w:instrText>
        <w:fldChar w:fldCharType="separate"/>
        <w:t xml:space="preserve">Pudratchining nomi, tashkiliy huquqiy shakli</w:t>
      </w:r>
      <w:r>
        <w:rPr>
          <w:vanish w:val="false"/>
          <w:sz w:val="28"/>
          <w:rFonts w:ascii="Times New Roman" w:hAnsi="Times New Roman"/>
        </w:rPr>
        <w:fldChar w:fldCharType="end"/>
      </w:r>
      <w:r>
        <w:rPr>
          <w:sz w:val="28"/>
          <w:rFonts w:ascii="Times New Roman" w:hAnsi="Times New Roman"/>
        </w:rPr>
        <w:t xml:space="preserve"> (keyingi oʻrinlarda “Pudratchi” deb yuritiladi) </w:t>
      </w:r>
      <w:r>
        <w:rPr>
          <w:vanish w:val="false"/>
          <w:sz w:val="28"/>
          <w:rFonts w:ascii="Times New Roman" w:hAnsi="Times New Roman"/>
        </w:rPr>
        <w:fldChar w:fldCharType="begin"/>
        <w:instrText xml:space="preserve">X {"Y":16}</w:instrText>
        <w:fldChar w:fldCharType="separate"/>
        <w:t xml:space="preserve">Pudratchiga shartnoma tuzish huquqini beruvchi hujjat</w:t>
      </w:r>
      <w:r>
        <w:rPr>
          <w:vanish w:val="false"/>
          <w:sz w:val="28"/>
          <w:rFonts w:ascii="Times New Roman" w:hAnsi="Times New Roman"/>
        </w:rPr>
        <w:fldChar w:fldCharType="end"/>
      </w:r>
      <w:r>
        <w:rPr>
          <w:sz w:val="28"/>
          <w:rFonts w:ascii="Times New Roman" w:hAnsi="Times New Roman"/>
        </w:rPr>
        <w:t xml:space="preserve"> asosida faoliyat koʻrsatuvchi </w:t>
      </w:r>
      <w:r>
        <w:rPr>
          <w:vanish w:val="false"/>
          <w:sz w:val="28"/>
          <w:rFonts w:ascii="Times New Roman" w:hAnsi="Times New Roman"/>
        </w:rPr>
        <w:fldChar w:fldCharType="begin"/>
        <w:instrText xml:space="preserve">X {"Y":17}</w:instrText>
        <w:fldChar w:fldCharType="separate"/>
        <w:t xml:space="preserve">Pudratchi tashkilot rahbarining lavozimi va F.I.O.si</w:t>
      </w:r>
      <w:r>
        <w:rPr>
          <w:vanish w:val="false"/>
          <w:sz w:val="28"/>
          <w:rFonts w:ascii="Times New Roman" w:hAnsi="Times New Roman"/>
        </w:rPr>
        <w:fldChar w:fldCharType="end"/>
      </w:r>
      <w:r>
        <w:rPr>
          <w:sz w:val="28"/>
          <w:rFonts w:ascii="Times New Roman" w:hAnsi="Times New Roman"/>
        </w:rPr>
        <w:t xml:space="preserve"> ikkinchi tomondan, quyidagilar haqida ushbu shartnoma tuzdilar:</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 PREDMETI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Mazkur shartnoma pudratchi tomonidan buyurtmachiga </w:t>
      </w:r>
      <w:r>
        <w:rPr>
          <w:vanish w:val="false"/>
          <w:sz w:val="28"/>
          <w:rFonts w:ascii="Times New Roman" w:hAnsi="Times New Roman"/>
        </w:rPr>
        <w:fldChar w:fldCharType="begin"/>
        <w:instrText xml:space="preserve">X {"Y":25}</w:instrText>
        <w:fldChar w:fldCharType="separate"/>
        <w:t xml:space="preserve">Pudratchi tomonidan ko‘rsatiladigan transport xizmati turlari</w:t>
      </w:r>
      <w:r>
        <w:rPr>
          <w:vanish w:val="false"/>
          <w:sz w:val="28"/>
          <w:rFonts w:ascii="Times New Roman" w:hAnsi="Times New Roman"/>
        </w:rPr>
        <w:fldChar w:fldCharType="end"/>
      </w:r>
      <w:r>
        <w:rPr>
          <w:sz w:val="28"/>
          <w:rFonts w:ascii="Times New Roman" w:hAnsi="Times New Roman"/>
        </w:rPr>
        <w:t xml:space="preserve"> shakldagi transport xizmatlarini koʻrsatish, Buyurtmachi esa koʻrsatilgan xizmatlar uchun belgilangan toʻlovlarni toʻlash majburiyatini oladi.</w:t>
      </w:r>
    </w:p>
    <w:p>
      <w:pPr>
        <w:jc w:val="both"/>
        <w:ind w:firstLine="425"/>
        <w:spacing w:after="0" w:line="288" w:lineRule="auto"/>
        <w:rPr>
          <w:sz w:val="28"/>
          <w:rFonts w:ascii="Times New Roman" w:hAnsi="Times New Roman"/>
        </w:rPr>
      </w:pPr>
      <w:r>
        <w:rPr>
          <w:sz w:val="28"/>
          <w:rFonts w:ascii="Times New Roman" w:hAnsi="Times New Roman"/>
        </w:rPr>
        <w:t xml:space="preserve">1.2. Pudratchi shuningdek, buyurtmachi bilan kelishgan holda transport xizmatlarini koʻrsatish bilan birgalikda tashish, qadoqlash, yuklash, tushirish boʻyicha qoʻshimcha xizmatlarni ham amalga oshirishi mumkin.</w:t>
      </w:r>
    </w:p>
    <w:p>
      <w:pPr>
        <w:jc w:val="both"/>
        <w:ind w:firstLine="425"/>
        <w:spacing w:after="0" w:line="288" w:lineRule="auto"/>
        <w:rPr>
          <w:sz w:val="28"/>
          <w:rFonts w:ascii="Times New Roman" w:hAnsi="Times New Roman"/>
        </w:rPr>
      </w:pPr>
      <w:r>
        <w:rPr>
          <w:sz w:val="28"/>
          <w:rFonts w:ascii="Times New Roman" w:hAnsi="Times New Roman"/>
        </w:rPr>
        <w:t xml:space="preserve">1.3. Transport xizmatlarini koʻrsatganlik uchun toʻlov mazkur shartnoma shartlarida belgilanadi.</w:t>
      </w:r>
    </w:p>
    <w:p>
      <w:pPr>
        <w:jc w:val="both"/>
        <w:ind w:firstLine="425"/>
        <w:spacing w:after="0" w:line="288" w:lineRule="auto"/>
        <w:rPr>
          <w:sz w:val="28"/>
          <w:rFonts w:ascii="Times New Roman" w:hAnsi="Times New Roman"/>
        </w:rPr>
      </w:pPr>
      <w:r>
        <w:rPr>
          <w:sz w:val="28"/>
          <w:rFonts w:ascii="Times New Roman" w:hAnsi="Times New Roman"/>
        </w:rPr>
        <w:t xml:space="preserve">1.4. Qoʻshimcha xizmatlar koʻrsatganlik uchun toʻlovlar taraflar oʻrtasida topshirish qabul qilish dalolatnomasi tuzilgandan soʻng amalga oshiriladi.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2. TOMONLARNING MAJBURIYATLARI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Pudratchining majburiyatlari:</w:t>
      </w:r>
    </w:p>
    <w:p>
      <w:pPr>
        <w:jc w:val="both"/>
        <w:ind w:firstLine="425"/>
        <w:spacing w:after="0" w:line="288" w:lineRule="auto"/>
        <w:rPr>
          <w:sz w:val="28"/>
          <w:rFonts w:ascii="Times New Roman" w:hAnsi="Times New Roman"/>
        </w:rPr>
      </w:pPr>
      <w:r>
        <w:rPr>
          <w:sz w:val="28"/>
          <w:rFonts w:ascii="Times New Roman" w:hAnsi="Times New Roman"/>
        </w:rPr>
        <w:t xml:space="preserve">2.1.1. Pudratchi buyurtmachining talabiga binoan transport vositasining belgilangan turlarini ( yuk tashuvchi, yuk koʻtaruvchi, yuk tushiruvchi va h.k) belgilangan joyga yetkazish;</w:t>
      </w:r>
    </w:p>
    <w:p>
      <w:pPr>
        <w:jc w:val="both"/>
        <w:ind w:firstLine="425"/>
        <w:spacing w:after="0" w:line="288" w:lineRule="auto"/>
        <w:rPr>
          <w:sz w:val="28"/>
          <w:rFonts w:ascii="Times New Roman" w:hAnsi="Times New Roman"/>
        </w:rPr>
      </w:pPr>
      <w:r>
        <w:rPr>
          <w:sz w:val="28"/>
          <w:rFonts w:ascii="Times New Roman" w:hAnsi="Times New Roman"/>
        </w:rPr>
        <w:t xml:space="preserve">2.1.2. Pudratchi transport xizmatlarini koʻrsatishda soz boʻlgan texnikalardan (yuk tashish ishlarida yukning turiga qarab sanitariya qoidalariga rioya qilingan transportdan foydalanadi) foydalanadi;</w:t>
      </w:r>
    </w:p>
    <w:p>
      <w:pPr>
        <w:jc w:val="both"/>
        <w:ind w:firstLine="425"/>
        <w:spacing w:after="0" w:line="288" w:lineRule="auto"/>
        <w:rPr>
          <w:sz w:val="28"/>
          <w:rFonts w:ascii="Times New Roman" w:hAnsi="Times New Roman"/>
        </w:rPr>
      </w:pPr>
      <w:r>
        <w:rPr>
          <w:sz w:val="28"/>
          <w:rFonts w:ascii="Times New Roman" w:hAnsi="Times New Roman"/>
        </w:rPr>
        <w:t xml:space="preserve">2.1.3.Pudratchi transport vositalarini haydayotgan barcha haydovchilarini professional haydovchi ekanligini va tegishli haydovchilik guvohnomasi mavjudligini kafolatlaydi.</w:t>
      </w:r>
    </w:p>
    <w:p>
      <w:pPr>
        <w:jc w:val="both"/>
        <w:ind w:firstLine="425"/>
        <w:spacing w:after="0" w:line="288" w:lineRule="auto"/>
        <w:rPr>
          <w:sz w:val="28"/>
          <w:rFonts w:ascii="Times New Roman" w:hAnsi="Times New Roman"/>
        </w:rPr>
      </w:pPr>
      <w:r>
        <w:rPr>
          <w:sz w:val="28"/>
          <w:rFonts w:ascii="Times New Roman" w:hAnsi="Times New Roman"/>
        </w:rPr>
        <w:t xml:space="preserve">2.1.4. Pudratchi ushbu shartnoma boʻyicha barcha ishlarni buyurtmachining talablariga muvofiq aniq va oʻz vaqtida bajarishga majburdir.</w:t>
      </w:r>
    </w:p>
    <w:p>
      <w:pPr>
        <w:jc w:val="both"/>
        <w:ind w:firstLine="425"/>
        <w:spacing w:after="0" w:line="288" w:lineRule="auto"/>
        <w:rPr>
          <w:sz w:val="28"/>
          <w:rFonts w:ascii="Times New Roman" w:hAnsi="Times New Roman"/>
        </w:rPr>
      </w:pPr>
      <w:r>
        <w:rPr>
          <w:sz w:val="28"/>
          <w:rFonts w:ascii="Times New Roman" w:hAnsi="Times New Roman"/>
        </w:rPr>
        <w:t xml:space="preserve">2.1.5. Pudratchi ishlarni bajarish vaqtini buyurtmachi talab qilgan muddatlarda oʻz nihoyasiga yetkazish;</w:t>
      </w:r>
    </w:p>
    <w:p>
      <w:pPr>
        <w:jc w:val="both"/>
        <w:ind w:firstLine="425"/>
        <w:spacing w:after="0" w:line="288"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{"Y":26}</w:instrText>
        <w:fldChar w:fldCharType="separate"/>
        <w:t xml:space="preserve">Pudratchining boshqa majburiyatlari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2.2. Pudratchi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2.2.1. Buyurtmachi tomonidan xizmatlar koʻrsatganlik uchun toʻlov muddati buzilgan taqdirda, toʻlovlarni amalga oshirishni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2.2.2. Hujjatlarda koʻrsatilgan yuklarga mos kelmaydigan yuklarni tashishdan bosh tortish.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{"Y":27}</w:instrText>
        <w:fldChar w:fldCharType="separate"/>
        <w:t xml:space="preserve">Pudratchining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2.3. Buyurtmachining majburiyatlari:</w:t>
      </w:r>
    </w:p>
    <w:p>
      <w:pPr>
        <w:jc w:val="both"/>
        <w:ind w:firstLine="425"/>
        <w:spacing w:after="0" w:line="288" w:lineRule="auto"/>
        <w:rPr>
          <w:sz w:val="28"/>
          <w:rFonts w:ascii="Times New Roman" w:hAnsi="Times New Roman"/>
        </w:rPr>
      </w:pPr>
      <w:r>
        <w:rPr>
          <w:sz w:val="28"/>
          <w:rFonts w:ascii="Times New Roman" w:hAnsi="Times New Roman"/>
        </w:rPr>
        <w:t xml:space="preserve">2.3.1. Pudratchiga navbatdagi amalga oshiriladigan ishlar boʻyicha kamida 3 kun oldin xabar berish;</w:t>
      </w:r>
    </w:p>
    <w:p>
      <w:pPr>
        <w:jc w:val="both"/>
        <w:ind w:firstLine="425"/>
        <w:spacing w:after="0" w:line="288" w:lineRule="auto"/>
        <w:rPr>
          <w:sz w:val="28"/>
          <w:rFonts w:ascii="Times New Roman" w:hAnsi="Times New Roman"/>
        </w:rPr>
      </w:pPr>
      <w:r>
        <w:rPr>
          <w:sz w:val="28"/>
          <w:rFonts w:ascii="Times New Roman" w:hAnsi="Times New Roman"/>
        </w:rPr>
        <w:t xml:space="preserve">2.3.2. Pudratchi tomonidan oʻz vaqtida bajarilgan transport xizmatlari uchun ishni bajarilganligini tasdiqlovchi xujjatlar mavjud boʻlganda toʻlovlarni toʻlash ishlarini amalga oshirish;</w:t>
      </w:r>
    </w:p>
    <w:p>
      <w:pPr>
        <w:jc w:val="both"/>
        <w:ind w:firstLine="425"/>
        <w:spacing w:after="0" w:line="288" w:lineRule="auto"/>
        <w:rPr>
          <w:sz w:val="28"/>
          <w:rFonts w:ascii="Times New Roman" w:hAnsi="Times New Roman"/>
        </w:rPr>
      </w:pPr>
      <w:r>
        <w:rPr>
          <w:sz w:val="28"/>
          <w:rFonts w:ascii="Times New Roman" w:hAnsi="Times New Roman"/>
        </w:rPr>
        <w:t xml:space="preserve">2.3.3. Pudratchining xodimlarini tegishli hujjatlari mavjud boʻlganda transport xizmatlari koʻrsatiluvchi hududga moneliksiz kiritish; </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Buyurtmachining boshqa majburiyatlari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2.4. Buyurtmachining huquqlari </w:t>
      </w:r>
    </w:p>
    <w:p>
      <w:pPr>
        <w:jc w:val="both"/>
        <w:ind w:firstLine="425"/>
        <w:spacing w:after="0" w:line="288" w:lineRule="auto"/>
        <w:rPr>
          <w:sz w:val="28"/>
          <w:rFonts w:ascii="Times New Roman" w:hAnsi="Times New Roman"/>
        </w:rPr>
      </w:pPr>
      <w:r>
        <w:rPr>
          <w:sz w:val="28"/>
          <w:rFonts w:ascii="Times New Roman" w:hAnsi="Times New Roman"/>
        </w:rPr>
        <w:t xml:space="preserve">2.4.1. Buyurtmachi transport xizmatlari ishlarini oʻz vaqtida yakunlanishini pudratchidan talab qilish;</w:t>
      </w:r>
    </w:p>
    <w:p>
      <w:pPr>
        <w:jc w:val="both"/>
        <w:ind w:firstLine="425"/>
        <w:spacing w:after="0" w:line="288" w:lineRule="auto"/>
        <w:rPr>
          <w:sz w:val="28"/>
          <w:rFonts w:ascii="Times New Roman" w:hAnsi="Times New Roman"/>
        </w:rPr>
      </w:pPr>
      <w:r>
        <w:rPr>
          <w:sz w:val="28"/>
          <w:rFonts w:ascii="Times New Roman" w:hAnsi="Times New Roman"/>
        </w:rPr>
        <w:t xml:space="preserve">2.4.2.Transport xizmatlari koʻrsatilishida kamchiliklarga yoʻq qoʻyilgan boʻlsa belgilangan toʻlovlarni toʻlashni toʻxtatib turish.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t xml:space="preserve">Buyurtmachining boshqa huquqlari</w:t>
      </w:r>
      <w:r>
        <w:rPr>
          <w:vanish w:val="false"/>
          <w:sz w:val="28"/>
          <w:rFonts w:ascii="Times New Roman" w:hAnsi="Times New Roman"/>
        </w:rPr>
        <w:fldChar w:fldCharType="end"/>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TASHISH SHARTLARI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3.1. Buyurtmachi pudratchiga elektron pochta orqali transport xizmatlarini amalga oshirish talabnomasini yuborishi lozim.</w:t>
      </w:r>
    </w:p>
    <w:p>
      <w:pPr>
        <w:jc w:val="both"/>
        <w:ind w:firstLine="425"/>
        <w:spacing w:after="0" w:line="288" w:lineRule="auto"/>
        <w:rPr>
          <w:sz w:val="28"/>
          <w:rFonts w:ascii="Times New Roman" w:hAnsi="Times New Roman"/>
        </w:rPr>
      </w:pPr>
      <w:r>
        <w:rPr>
          <w:sz w:val="28"/>
          <w:rFonts w:ascii="Times New Roman" w:hAnsi="Times New Roman"/>
        </w:rPr>
        <w:t xml:space="preserve">3.2. Pudratchi transport vositalari va xodimlarining ish jarayonini mustaqil ravishda nazorat qiladi. Agar ish jarayonining toʻxtab qolishiga sabab boʻluvchi omillar mavjud boʻlsa ularni zudlik bilan bartaraf etadi.</w:t>
      </w:r>
    </w:p>
    <w:p>
      <w:pPr>
        <w:jc w:val="center"/>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4. TOMONLARNING JAVOBGARLIGI</w:t>
      </w:r>
    </w:p>
    <w:p>
      <w:pPr>
        <w:jc w:val="both"/>
        <w:ind w:firstLine="425"/>
        <w:spacing w:after="0" w:line="288" w:lineRule="auto"/>
        <w:rPr>
          <w:sz w:val="28"/>
          <w:rFonts w:ascii="Times New Roman" w:hAnsi="Times New Roman"/>
        </w:rPr>
      </w:pPr>
      <w:r>
        <w:rPr>
          <w:sz w:val="28"/>
          <w:rFonts w:ascii="Times New Roman" w:hAnsi="Times New Roman"/>
        </w:rPr>
        <w:t xml:space="preserve">4.1. Yoʻnalish boʻyicha transport vositasida nosozlik aniqlangan taqdirda pudratchi zudlik bilan ushbu transport vositasini tuzatish choralarini koʻrishi lozim. Agar transport vositasidagi nosozliklar bartaraf etishning chorasi boʻlmasa uni boshqa transport bilan almashtirishi lozim. Nosozlik sabab yoʻqotilgan vaqt uchun buyurtmachi tomonidan qoʻshimcha toʻlovlar qilinmaydi.</w:t>
      </w:r>
    </w:p>
    <w:p>
      <w:pPr>
        <w:jc w:val="both"/>
        <w:ind w:firstLine="425"/>
        <w:spacing w:after="0" w:line="288" w:lineRule="auto"/>
        <w:rPr>
          <w:sz w:val="28"/>
          <w:rFonts w:ascii="Times New Roman" w:hAnsi="Times New Roman"/>
        </w:rPr>
      </w:pPr>
      <w:r>
        <w:rPr>
          <w:sz w:val="28"/>
          <w:rFonts w:ascii="Times New Roman" w:hAnsi="Times New Roman"/>
        </w:rPr>
        <w:t xml:space="preserve">4.2. Buyurtmachi tomonidan pudratchining transport vositalarini oʻz vaqtida sababsiz qoʻyib yubormagan taqdirda pudratchiga jarima toʻlaydi.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5. TASHISH UCHUN TOʻLOV</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5.1. Tomonlarning hisob-kitoblari har hafta schyot-fakturalar va pudratchi tomonidan bajarilgan ish aktlari asosida amalga oshiriladi.</w:t>
      </w:r>
    </w:p>
    <w:p>
      <w:pPr>
        <w:jc w:val="both"/>
        <w:ind w:firstLine="425"/>
        <w:spacing w:after="0" w:line="288" w:lineRule="auto"/>
        <w:rPr>
          <w:sz w:val="28"/>
          <w:rFonts w:ascii="Times New Roman" w:hAnsi="Times New Roman"/>
        </w:rPr>
      </w:pPr>
      <w:r>
        <w:rPr>
          <w:sz w:val="28"/>
          <w:rFonts w:ascii="Times New Roman" w:hAnsi="Times New Roman"/>
        </w:rPr>
        <w:t xml:space="preserve">5.2. Bajarilgan ishlar uchun xizmat narxlari shartnomaga alohida ilova qilinadi.</w:t>
      </w:r>
    </w:p>
    <w:p>
      <w:pPr>
        <w:jc w:val="both"/>
        <w:ind w:firstLine="425"/>
        <w:spacing w:after="0" w:line="288" w:lineRule="auto"/>
        <w:rPr>
          <w:sz w:val="28"/>
          <w:rFonts w:ascii="Times New Roman" w:hAnsi="Times New Roman"/>
        </w:rPr>
      </w:pPr>
      <w:r>
        <w:rPr>
          <w:sz w:val="28"/>
          <w:rFonts w:ascii="Times New Roman" w:hAnsi="Times New Roman"/>
        </w:rPr>
        <w:t xml:space="preserve">5.3. Pudratchi tomonidan taqdim etilgan schyot-fakturalar va bajarilgan ishlar toʻgʻrisidagi dalolatnoma asosida buyurtmachi uch ish kuni ichida dalolatnomada koʻrsatilgan toʻlovlarni amalga oshiradi.</w:t>
      </w:r>
    </w:p>
    <w:p>
      <w:pPr>
        <w:jc w:val="both"/>
        <w:ind w:firstLine="425"/>
        <w:spacing w:after="0" w:line="288" w:lineRule="auto"/>
        <w:rPr>
          <w:sz w:val="28"/>
          <w:rFonts w:ascii="Times New Roman" w:hAnsi="Times New Roman"/>
        </w:rPr>
      </w:pPr>
      <w:r>
        <w:rPr>
          <w:sz w:val="28"/>
          <w:rFonts w:ascii="Times New Roman" w:hAnsi="Times New Roman"/>
        </w:rPr>
        <w:t xml:space="preserve">5.4. Toʻlov kechiktirilgan taqdirda, buyurtmachi bajarilgan ish qiymatining </w:t>
      </w:r>
      <w:r>
        <w:rPr>
          <w:vanish w:val="false"/>
          <w:sz w:val="28"/>
          <w:rFonts w:ascii="Times New Roman" w:hAnsi="Times New Roman"/>
        </w:rPr>
        <w:fldChar w:fldCharType="begin"/>
        <w:instrText xml:space="preserve">X {"Y":30}</w:instrText>
        <w:fldChar w:fldCharType="separate"/>
        <w:t xml:space="preserve">To‘lov kechiktirilgan taqdirda pudratchiga to‘lanadigan jarima miqdori</w:t>
      </w:r>
      <w:r>
        <w:rPr>
          <w:vanish w:val="false"/>
          <w:sz w:val="28"/>
          <w:rFonts w:ascii="Times New Roman" w:hAnsi="Times New Roman"/>
        </w:rPr>
        <w:fldChar w:fldCharType="end"/>
      </w:r>
      <w:r>
        <w:rPr>
          <w:sz w:val="28"/>
          <w:rFonts w:ascii="Times New Roman" w:hAnsi="Times New Roman"/>
        </w:rPr>
        <w:t xml:space="preserve">  % miqdorida jarima toʻlaydi.</w:t>
      </w:r>
    </w:p>
    <w:p>
      <w:pPr>
        <w:jc w:val="both"/>
        <w:ind w:firstLine="425"/>
        <w:spacing w:after="0" w:line="288" w:lineRule="auto"/>
        <w:rPr>
          <w:sz w:val="28"/>
          <w:rFonts w:ascii="Times New Roman" w:hAnsi="Times New Roman"/>
        </w:rPr>
      </w:pPr>
      <w:r>
        <w:rPr>
          <w:sz w:val="28"/>
          <w:rFonts w:ascii="Times New Roman" w:hAnsi="Times New Roman"/>
        </w:rPr>
        <w:t xml:space="preserve">5.5. Pudratchi tomonidan taqdim etilgan bajarilgan ishlar akti buyurtmachini qoniqtirmagan taqdirda, bir ish kunida elektron pochta orqali kelishmovchiliklar aktini yuboradi. Tomonlar kelishmovchiliklarni bartaraf etgandan soʻng buyurtmachi yangilangan bajarilgan ishlar dalolatnomasiga muvofiq keyingi kundan boshlab toʻlovlarni amalga oshirishga kirishadi.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FORS-MAJOR HOLATLARI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6.1.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ind w:firstLine="425"/>
        <w:spacing w:after="0" w:line="288" w:lineRule="auto"/>
        <w:rPr>
          <w:sz w:val="28"/>
          <w:rFonts w:ascii="Times New Roman" w:hAnsi="Times New Roman"/>
        </w:rPr>
      </w:pPr>
      <w:r>
        <w:rPr>
          <w:sz w:val="28"/>
          <w:rFonts w:ascii="Times New Roman" w:hAnsi="Times New Roman"/>
        </w:rPr>
        <w:t xml:space="preserve">6.2. Fors-major holati mavjud boʻlgan tomon uch kun ichida boshqa tomonlarni fors-major holatining boshlanish va tugash muddatlarini koʻrsatgan holda yozma ravishda ogohlantirishi lozim.</w:t>
      </w:r>
    </w:p>
    <w:p>
      <w:pPr>
        <w:jc w:val="both"/>
        <w:ind w:firstLine="425"/>
        <w:spacing w:after="0" w:line="288" w:lineRule="auto"/>
        <w:rPr>
          <w:sz w:val="28"/>
          <w:rFonts w:ascii="Times New Roman" w:hAnsi="Times New Roman"/>
        </w:rPr>
      </w:pPr>
      <w:r>
        <w:rPr>
          <w:sz w:val="28"/>
          <w:rFonts w:ascii="Times New Roman" w:hAnsi="Times New Roman"/>
        </w:rPr>
        <w:t xml:space="preserve">6.3. Agar fors-major holati garov shartnomasining shartlarini bajarishga uch oydan koʻp muddat talab qilsa, tomonlarning har biri shartnomani bekor qilish huquqiga ega</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7. NIZOLARNI HAL QILISH TARTIBI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7.1. Tomonlar mazkur shartnomani bajarish vaqtida yuzaga kelgan kelishmovchilik yoki nizolarni muzokara yoʻli bilan hal etadilar. </w:t>
      </w:r>
    </w:p>
    <w:p>
      <w:pPr>
        <w:jc w:val="both"/>
        <w:ind w:firstLine="425"/>
        <w:spacing w:after="0" w:line="288" w:lineRule="auto"/>
        <w:rPr>
          <w:sz w:val="28"/>
          <w:rFonts w:ascii="Times New Roman" w:hAnsi="Times New Roman"/>
        </w:rPr>
      </w:pPr>
      <w:r>
        <w:rPr>
          <w:sz w:val="28"/>
          <w:rFonts w:ascii="Times New Roman" w:hAnsi="Times New Roman"/>
        </w:rPr>
        <w:t xml:space="preserve">7.2. Shartnoma yuzasidan nizolar muzokaralar yoʻli bilan hal etilmasa, ular Oʻzbekiston Respublikasi qonunchiligiga </w:t>
      </w:r>
      <w:r>
        <w:rPr>
          <w:vanish w:val="false"/>
          <w:sz w:val="28"/>
          <w:rFonts w:ascii="Times New Roman" w:hAnsi="Times New Roman"/>
        </w:rPr>
        <w:fldChar w:fldCharType="begin"/>
        <w:instrText xml:space="preserve">X {"Y":31}</w:instrText>
        <w:fldChar w:fldCharType="separate"/>
        <w:t xml:space="preserve">Nizolar yuzasidan taraflar murojaat qiladigan sud nomi</w:t>
      </w:r>
      <w:r>
        <w:rPr>
          <w:vanish w:val="false"/>
          <w:sz w:val="28"/>
          <w:rFonts w:ascii="Times New Roman" w:hAnsi="Times New Roman"/>
        </w:rPr>
        <w:fldChar w:fldCharType="end"/>
      </w:r>
      <w:r>
        <w:rPr>
          <w:sz w:val="28"/>
          <w:rFonts w:ascii="Times New Roman" w:hAnsi="Times New Roman"/>
        </w:rPr>
        <w:t xml:space="preserve"> sudida hal etiladi.</w:t>
      </w:r>
    </w:p>
    <w:p>
      <w:pPr>
        <w:jc w:val="both"/>
        <w:ind w:firstLine="425"/>
        <w:spacing w:after="0" w:line="288" w:lineRule="auto"/>
        <w:rPr>
          <w:sz w:val="28"/>
          <w:rFonts w:ascii="Times New Roman" w:hAnsi="Times New Roman"/>
        </w:rPr>
      </w:pPr>
      <w:r>
        <w:rPr>
          <w:sz w:val="28"/>
          <w:rFonts w:ascii="Times New Roman" w:hAnsi="Times New Roman"/>
        </w:rPr>
        <w:t xml:space="preserve">7.3. Mazkur shartnomada koʻzda tutilmagan, u bilan bogʻliq boʻlgan barcha munosabatlar Oʻzbekiston Respublikasi Fuqarolik kodeksi, Transport toʻgʻrisidagi qonuni va amaldagi boshqa qonunchilik bilan tartibga solinadi.</w:t>
      </w:r>
    </w:p>
    <w:p>
      <w:pPr>
        <w:jc w:val="both"/>
        <w:ind w:firstLine="425"/>
        <w:spacing w:after="0" w:line="288" w:lineRule="auto"/>
        <w:rPr>
          <w:sz w:val="28"/>
          <w:rFonts w:ascii="Times New Roman" w:hAnsi="Times New Roman"/>
        </w:rPr>
      </w:pPr>
      <w:r>
        <w:rPr>
          <w:sz w:val="28"/>
          <w:rFonts w:ascii="Times New Roman" w:hAnsi="Times New Roman"/>
        </w:rPr>
        <w:t xml:space="preserve">7.4. Oʻzaro kelishuv imkoniyati boʻlmaganda, huquqi buzilgan taraf yuborgan talabnoma yoki ogohlantirish xatiga ikkinchi taraf mazkur hujjatlarda koʻrsatilgan muddat ichida javob berishi lozim.</w:t>
      </w:r>
    </w:p>
    <w:p>
      <w:pPr>
        <w:jc w:val="both"/>
        <w:ind w:firstLine="425"/>
        <w:spacing w:after="0" w:line="288" w:lineRule="auto"/>
        <w:rPr>
          <w:sz w:val="28"/>
          <w:rFonts w:ascii="Times New Roman" w:hAnsi="Times New Roman"/>
        </w:rPr>
      </w:pPr>
      <w:r>
        <w:rPr>
          <w:sz w:val="28"/>
          <w:rFonts w:ascii="Times New Roman" w:hAnsi="Times New Roman"/>
        </w:rPr>
        <w:t xml:space="preserve">7.5. Mazkur shartnoma va uning ilovasi bir xil yuridik kuchga ega boʻlgan ikki nusxada tuzilib, shartnomaning bir nusxasi “Buyurtmachi”da, ikkinchi nusxasi “Ijrochi”da saqlanadi.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8. BOSHQA SHARTLAR</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8.1. Ushbu shartnoma imzolangan paytdan boshlab kuchga kiradi va tomonlar ushbu shartnoma boʻyicha oʻz majburiyatlarini toʻliq va toʻgʻri bajarganlaridan keyin muddati oʻtgan hisoblanadi.</w:t>
      </w:r>
    </w:p>
    <w:p>
      <w:pPr>
        <w:jc w:val="both"/>
        <w:ind w:firstLine="425"/>
        <w:spacing w:after="0" w:line="288" w:lineRule="auto"/>
        <w:rPr>
          <w:sz w:val="28"/>
          <w:rFonts w:ascii="Times New Roman" w:hAnsi="Times New Roman"/>
        </w:rPr>
      </w:pPr>
      <w:r>
        <w:rPr>
          <w:sz w:val="28"/>
          <w:rFonts w:ascii="Times New Roman" w:hAnsi="Times New Roman"/>
        </w:rPr>
        <w:t xml:space="preserve">8.2. Tomonlarning har biri yuqoridagi harakatlar boshlanishidan bir necha kun oldin boshqa tomonni yozma ravishda xabardor qilish orqali shartnomani muddatidan oldin bekor qilishga yoki unga oʻzgartirishlar kiritishga haqlidir.</w:t>
      </w:r>
    </w:p>
    <w:p>
      <w:pPr>
        <w:jc w:val="both"/>
        <w:ind w:firstLine="425"/>
        <w:spacing w:after="0" w:line="288" w:lineRule="auto"/>
        <w:rPr>
          <w:sz w:val="28"/>
          <w:rFonts w:ascii="Times New Roman" w:hAnsi="Times New Roman"/>
        </w:rPr>
      </w:pPr>
      <w:r>
        <w:rPr>
          <w:sz w:val="28"/>
          <w:rFonts w:ascii="Times New Roman" w:hAnsi="Times New Roman"/>
        </w:rPr>
        <w:t xml:space="preserve">8.3. Ushbu shartnomaning shartlari va uning qoʻshimchalarini uchinchi shaxslarga faqat boshqa tomonning yozma roziligi bilan oshkor qilinishi mumkin.</w:t>
      </w:r>
    </w:p>
    <w:p>
      <w:pPr>
        <w:jc w:val="both"/>
        <w:ind w:firstLine="425"/>
        <w:spacing w:after="0" w:line="288" w:lineRule="auto"/>
        <w:rPr>
          <w:sz w:val="28"/>
          <w:rFonts w:ascii="Times New Roman" w:hAnsi="Times New Roman"/>
        </w:rPr>
      </w:pPr>
      <w:r>
        <w:rPr>
          <w:sz w:val="28"/>
          <w:rFonts w:ascii="Times New Roman" w:hAnsi="Times New Roman"/>
        </w:rPr>
        <w:t xml:space="preserve">8.4. Ushbu shartnomada xizmat koʻrsatishning boshlanish vaqti transport vositasi va xodimlarning ishlarni bajarish joyiga kelish vaqti hisoblanadi.</w:t>
      </w:r>
    </w:p>
    <w:p>
      <w:pPr>
        <w:jc w:val="both"/>
        <w:ind w:firstLine="425"/>
        <w:spacing w:after="0" w:line="288" w:lineRule="auto"/>
        <w:rPr>
          <w:sz w:val="28"/>
          <w:rFonts w:ascii="Times New Roman" w:hAnsi="Times New Roman"/>
        </w:rPr>
      </w:pPr>
      <w:r>
        <w:rPr>
          <w:sz w:val="28"/>
          <w:rFonts w:ascii="Times New Roman" w:hAnsi="Times New Roman"/>
        </w:rPr>
        <w:t xml:space="preserve">8.5. Ushbu shartnomaga muvofiq topshiriqlarni bajarish va bajarilgan ishlar haqidagi maʼlumotlar faksimil yoki elektron pochta orqali uzatiladi va bunday maʼlumot shakli yozma shaklga teng hisoblanadi.</w:t>
      </w:r>
    </w:p>
    <w:p>
      <w:pPr>
        <w:jc w:val="both"/>
        <w:ind w:firstLine="425"/>
        <w:spacing w:after="0" w:line="288" w:lineRule="auto"/>
        <w:rPr>
          <w:sz w:val="28"/>
          <w:rFonts w:ascii="Times New Roman" w:hAnsi="Times New Roman"/>
        </w:rPr>
      </w:pPr>
      <w:r>
        <w:rPr>
          <w:sz w:val="28"/>
          <w:rFonts w:ascii="Times New Roman" w:hAnsi="Times New Roman"/>
        </w:rPr>
        <w:t xml:space="preserve">8.6. Tomonlar oʻzlarining joylashgan manzili va rekvizitlarining oʻzgarganligi toʻgʻrisida bunday oʻzgarishlar sodir boʻlgan kundan boshlab uch ish kuni ichida bir-birlarini xabardor qilishlari shart.</w:t>
      </w:r>
    </w:p>
    <w:p>
      <w:pPr>
        <w:jc w:val="both"/>
        <w:ind w:firstLine="425"/>
        <w:spacing w:after="0" w:line="288" w:lineRule="auto"/>
        <w:rPr>
          <w:sz w:val="24"/>
          <w:rFonts w:ascii="Times New Roman" w:hAnsi="Times New Roman"/>
        </w:rPr>
      </w:pPr>
    </w:p>
    <w:p>
      <w:pPr>
        <w:jc w:val="center"/>
        <w:ind w:firstLine="425"/>
        <w:spacing w:after="0" w:line="288" w:lineRule="auto"/>
        <w:rPr>
          <w:sz w:val="24"/>
          <w:rFonts w:ascii="Times New Roman" w:hAnsi="Times New Roman"/>
        </w:rPr>
      </w:pPr>
      <w:r>
        <w:rPr>
          <w:b/>
          <w:sz w:val="24"/>
          <w:rFonts w:ascii="Times New Roman" w:hAnsi="Times New Roman"/>
        </w:rPr>
        <w:t xml:space="preserve">9. TOMONLARNING REKVIZITLARI</w:t>
      </w:r>
    </w:p>
    <w:p>
      <w:pPr>
        <w:jc w:val="center"/>
        <w:ind w:firstLine="425"/>
        <w:spacing w:after="0" w:line="288" w:lineRule="auto"/>
        <w:rPr>
          <w:b/>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25"/>
        <w:gridCol w:w="2206"/>
        <w:gridCol w:w="284"/>
        <w:gridCol w:w="2385"/>
        <w:gridCol w:w="2145"/>
      </w:tblGrid>
      <w:tr>
        <w:tc>
          <w:tcPr>
            <w:tcW w:w="4531" w:type="dxa"/>
            <w:gridSpan w:val="2"/>
          </w:tcPr>
          <w:p>
            <w:pPr>
              <w:pStyle w:val="a4"/>
              <w:jc w:val="center"/>
              <w:ind w:left="0"/>
              <w:spacing w:line="288" w:lineRule="auto"/>
              <w:rPr>
                <w:b/>
                <w:sz w:val="28"/>
                <w:rFonts w:ascii="Times New Roman" w:hAnsi="Times New Roman"/>
              </w:rPr>
            </w:pPr>
            <w:r>
              <w:rPr>
                <w:b/>
                <w:sz w:val="28"/>
                <w:rFonts w:ascii="Times New Roman" w:hAnsi="Times New Roman"/>
              </w:rPr>
              <w:t>Buyurtmachi:</w:t>
            </w:r>
          </w:p>
        </w:tc>
        <w:tc>
          <w:tcPr>
            <w:tcW w:w="284" w:type="dxa"/>
          </w:tcPr>
          <w:p>
            <w:pPr>
              <w:pStyle w:val="a4"/>
              <w:jc w:val="both"/>
              <w:ind w:left="0"/>
              <w:spacing w:line="288" w:lineRule="auto"/>
              <w:rPr>
                <w:b/>
                <w:sz w:val="28"/>
                <w:rFonts w:ascii="Times New Roman" w:hAnsi="Times New Roman"/>
              </w:rPr>
            </w:pPr>
          </w:p>
        </w:tc>
        <w:tc>
          <w:tcPr>
            <w:tcW w:w="4530" w:type="dxa"/>
            <w:gridSpan w:val="2"/>
          </w:tcPr>
          <w:p>
            <w:pPr>
              <w:pStyle w:val="a4"/>
              <w:jc w:val="center"/>
              <w:ind w:left="0"/>
              <w:spacing w:line="288" w:lineRule="auto"/>
              <w:rPr>
                <w:b/>
                <w:sz w:val="28"/>
                <w:rFonts w:ascii="Times New Roman" w:hAnsi="Times New Roman"/>
              </w:rPr>
            </w:pPr>
            <w:r>
              <w:rPr>
                <w:b/>
                <w:sz w:val="28"/>
                <w:rFonts w:ascii="Times New Roman" w:hAnsi="Times New Roman"/>
              </w:rPr>
              <w:t>Pudratchi:</w:t>
            </w:r>
          </w:p>
        </w:tc>
      </w:tr>
      <w:tr>
        <w:tc>
          <w:tcPr>
            <w:tcW w:w="4531" w:type="dxa"/>
            <w:gridSpan w:val="2"/>
          </w:tcPr>
          <w:p>
            <w:pPr>
              <w:pStyle w:val="a4"/>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Buyurtmachi tashkilotning nomi, tashkiliy huquqiy shakli</w:t>
            </w:r>
            <w:r>
              <w:rPr>
                <w:vanish w:val="false"/>
                <w:sz w:val="28"/>
                <w:rFonts w:ascii="Times New Roman" w:hAnsi="Times New Roman"/>
              </w:rPr>
              <w:fldChar w:fldCharType="end"/>
            </w:r>
          </w:p>
        </w:tc>
        <w:tc>
          <w:tcPr>
            <w:tcW w:w="284" w:type="dxa"/>
          </w:tcPr>
          <w:p>
            <w:pPr>
              <w:pStyle w:val="a4"/>
              <w:jc w:val="both"/>
              <w:ind w:left="0"/>
              <w:spacing w:line="288" w:lineRule="auto"/>
              <w:rPr>
                <w:b/>
                <w:sz w:val="28"/>
                <w:rFonts w:ascii="Times New Roman" w:hAnsi="Times New Roman"/>
              </w:rPr>
            </w:pPr>
          </w:p>
        </w:tc>
        <w:tc>
          <w:tcPr>
            <w:tcW w:w="4530" w:type="dxa"/>
            <w:gridSpan w:val="2"/>
          </w:tcPr>
          <w:p>
            <w:pPr>
              <w:pStyle w:val="a4"/>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{"Y":15}</w:instrText>
              <w:fldChar w:fldCharType="separate"/>
              <w:t xml:space="preserve">Pudratchining nomi, tashkiliy huquqiy shakli</w:t>
            </w:r>
            <w:r>
              <w:rPr>
                <w:vanish w:val="false"/>
                <w:sz w:val="28"/>
                <w:rFonts w:ascii="Times New Roman" w:hAnsi="Times New Roman"/>
              </w:rPr>
              <w:fldChar w:fldCharType="end"/>
            </w:r>
          </w:p>
        </w:tc>
      </w:tr>
      <w:tr>
        <w:tc>
          <w:tcPr>
            <w:tcW w:w="4531" w:type="dxa"/>
            <w:gridSpan w:val="2"/>
          </w:tcPr>
          <w:p>
            <w:pPr>
              <w:pStyle w:val="a4"/>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t xml:space="preserve">Buyurtmachining joylashgan manzili</w:t>
            </w:r>
            <w:r>
              <w:rPr>
                <w:vanish w:val="false"/>
              </w:rPr>
              <w:fldChar w:fldCharType="end"/>
            </w:r>
          </w:p>
        </w:tc>
        <w:tc>
          <w:tcPr>
            <w:tcW w:w="284" w:type="dxa"/>
          </w:tcPr>
          <w:p>
            <w:pPr>
              <w:pStyle w:val="a4"/>
              <w:jc w:val="both"/>
              <w:ind w:left="0"/>
              <w:spacing w:line="288" w:lineRule="auto"/>
              <w:rPr>
                <w:b/>
                <w:sz w:val="28"/>
                <w:rFonts w:ascii="Times New Roman" w:hAnsi="Times New Roman"/>
              </w:rPr>
            </w:pPr>
          </w:p>
        </w:tc>
        <w:tc>
          <w:tcPr>
            <w:tcW w:w="4530" w:type="dxa"/>
            <w:gridSpan w:val="2"/>
          </w:tcPr>
          <w:p>
            <w:pPr>
              <w:pStyle w:val="a4"/>
              <w:jc w:val="both"/>
              <w:ind w:left="0"/>
              <w:spacing w:line="288" w:lineRule="auto"/>
              <w:rPr>
                <w:b/>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t xml:space="preserve">Pudratchining manzili</w:t>
            </w:r>
            <w:r>
              <w:rPr>
                <w:vanish w:val="false"/>
                <w:sz w:val="28"/>
                <w:rFonts w:ascii="Times New Roman" w:hAnsi="Times New Roman"/>
              </w:rPr>
              <w:fldChar w:fldCharType="end"/>
            </w:r>
          </w:p>
        </w:tc>
      </w:tr>
      <w:tr>
        <w:tc>
          <w:tcPr>
            <w:tcW w:w="4531" w:type="dxa"/>
            <w:gridSpan w:val="2"/>
          </w:tcPr>
          <w:p>
            <w:pPr>
              <w:pStyle w:val="a4"/>
              <w:jc w:val="both"/>
              <w:ind w:left="0"/>
              <w:spacing w:line="288" w:lineRule="auto"/>
              <w:rPr>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t xml:space="preserve">Buyurtmachining pul operatsiyalarini amalga oshiruvchi bank nomi</w:t>
            </w:r>
            <w:r>
              <w:rPr>
                <w:vanish w:val="false"/>
                <w:sz w:val="28"/>
                <w:rFonts w:ascii="Times New Roman" w:hAnsi="Times New Roman"/>
              </w:rPr>
              <w:fldChar w:fldCharType="end"/>
            </w:r>
          </w:p>
        </w:tc>
        <w:tc>
          <w:tcPr>
            <w:tcW w:w="284" w:type="dxa"/>
          </w:tcPr>
          <w:p>
            <w:pPr>
              <w:pStyle w:val="a4"/>
              <w:jc w:val="both"/>
              <w:ind w:left="0"/>
              <w:spacing w:line="288" w:lineRule="auto"/>
              <w:rPr>
                <w:sz w:val="28"/>
                <w:rFonts w:ascii="Times New Roman" w:hAnsi="Times New Roman"/>
              </w:rPr>
            </w:pPr>
          </w:p>
        </w:tc>
        <w:tc>
          <w:tcPr>
            <w:tcW w:w="4530" w:type="dxa"/>
            <w:gridSpan w:val="2"/>
          </w:tcPr>
          <w:p>
            <w:pPr>
              <w:pStyle w:val="a4"/>
              <w:jc w:val="both"/>
              <w:ind w:left="0"/>
              <w:spacing w:line="288" w:lineRule="auto"/>
              <w:rPr>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t xml:space="preserve">Pudratchining pul operatsiyalarini amalga oshiruvchi bank nomi</w:t>
            </w:r>
            <w:r>
              <w:rPr>
                <w:vanish w:val="false"/>
                <w:sz w:val="28"/>
                <w:rFonts w:ascii="Times New Roman" w:hAnsi="Times New Roman"/>
              </w:rPr>
              <w:fldChar w:fldCharType="end"/>
            </w:r>
          </w:p>
        </w:tc>
      </w:tr>
      <w:tr>
        <w:tc>
          <w:tcPr>
            <w:tcW w:w="4531"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{"Y":10}</w:instrText>
              <w:fldChar w:fldCharType="separate"/>
              <w:t xml:space="preserve">Buyurtmachining hisob raqami</w:t>
            </w:r>
            <w:r>
              <w:rPr>
                <w:vanish w:val="false"/>
                <w:sz w:val="28"/>
                <w:rFonts w:ascii="Times New Roman" w:hAnsi="Times New Roman"/>
              </w:rPr>
              <w:fldChar w:fldCharType="end"/>
            </w:r>
          </w:p>
        </w:tc>
        <w:tc>
          <w:tcPr>
            <w:tcW w:w="284" w:type="dxa"/>
          </w:tcPr>
          <w:p>
            <w:pPr>
              <w:pStyle w:val="a4"/>
              <w:jc w:val="both"/>
              <w:ind w:left="0"/>
              <w:spacing w:line="288" w:lineRule="auto"/>
              <w:rPr>
                <w:sz w:val="28"/>
                <w:rFonts w:ascii="Times New Roman" w:hAnsi="Times New Roman"/>
              </w:rPr>
            </w:pPr>
          </w:p>
        </w:tc>
        <w:tc>
          <w:tcPr>
            <w:tcW w:w="4530"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{"Y":19}</w:instrText>
              <w:fldChar w:fldCharType="separate"/>
              <w:t xml:space="preserve">Pudratchining hisob raqami</w:t>
            </w:r>
            <w:r>
              <w:rPr>
                <w:vanish w:val="false"/>
                <w:sz w:val="28"/>
                <w:rFonts w:ascii="Times New Roman" w:hAnsi="Times New Roman"/>
              </w:rPr>
              <w:fldChar w:fldCharType="end"/>
            </w:r>
          </w:p>
        </w:tc>
      </w:tr>
      <w:tr>
        <w:tc>
          <w:tcPr>
            <w:tcW w:w="4531" w:type="dxa"/>
            <w:gridSpan w:val="2"/>
          </w:tcPr>
          <w:p>
            <w:pPr>
              <w:pStyle w:val="a4"/>
              <w:jc w:val="both"/>
              <w:ind w:left="0"/>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t xml:space="preserve">Buyurtmachining STIR raqami</w:t>
            </w:r>
            <w:r>
              <w:rPr>
                <w:vanish w:val="false"/>
                <w:sz w:val="28"/>
                <w:rFonts w:ascii="Times New Roman" w:hAnsi="Times New Roman"/>
              </w:rPr>
              <w:fldChar w:fldCharType="end"/>
            </w:r>
          </w:p>
        </w:tc>
        <w:tc>
          <w:tcPr>
            <w:tcW w:w="284" w:type="dxa"/>
          </w:tcPr>
          <w:p>
            <w:pPr>
              <w:pStyle w:val="a4"/>
              <w:jc w:val="both"/>
              <w:ind w:left="0"/>
              <w:spacing w:line="288" w:lineRule="auto"/>
              <w:rPr>
                <w:sz w:val="28"/>
                <w:rFonts w:ascii="Times New Roman" w:hAnsi="Times New Roman"/>
              </w:rPr>
            </w:pPr>
          </w:p>
        </w:tc>
        <w:tc>
          <w:tcPr>
            <w:tcW w:w="4530"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t xml:space="preserve">Pudratchining STIR raqami</w:t>
            </w:r>
            <w:r>
              <w:rPr>
                <w:vanish w:val="false"/>
                <w:sz w:val="28"/>
                <w:rFonts w:ascii="Times New Roman" w:hAnsi="Times New Roman"/>
              </w:rPr>
              <w:fldChar w:fldCharType="end"/>
            </w:r>
          </w:p>
        </w:tc>
      </w:tr>
      <w:tr>
        <w:tc>
          <w:tcPr>
            <w:tcW w:w="4531" w:type="dxa"/>
            <w:gridSpan w:val="2"/>
          </w:tcPr>
          <w:p>
            <w:pPr>
              <w:pStyle w:val="a4"/>
              <w:jc w:val="both"/>
              <w:ind w:left="0"/>
              <w:spacing w:line="288" w:lineRule="auto"/>
              <w:rPr>
                <w:b/>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{"Y":13}</w:instrText>
              <w:fldChar w:fldCharType="separate"/>
              <w:t xml:space="preserve">Buyurtmachining aloqa raqami</w:t>
            </w:r>
            <w:r>
              <w:rPr>
                <w:vanish w:val="false"/>
                <w:sz w:val="28"/>
                <w:rFonts w:ascii="Times New Roman" w:hAnsi="Times New Roman"/>
              </w:rPr>
              <w:fldChar w:fldCharType="end"/>
            </w:r>
          </w:p>
        </w:tc>
        <w:tc>
          <w:tcPr>
            <w:tcW w:w="284" w:type="dxa"/>
          </w:tcPr>
          <w:p>
            <w:pPr>
              <w:pStyle w:val="a4"/>
              <w:jc w:val="both"/>
              <w:ind w:left="0"/>
              <w:spacing w:line="288" w:lineRule="auto"/>
              <w:rPr>
                <w:b/>
                <w:sz w:val="28"/>
                <w:rFonts w:ascii="Times New Roman" w:hAnsi="Times New Roman"/>
              </w:rPr>
            </w:pPr>
          </w:p>
        </w:tc>
        <w:tc>
          <w:tcPr>
            <w:tcW w:w="4530" w:type="dxa"/>
            <w:gridSpan w:val="2"/>
          </w:tcPr>
          <w:p>
            <w:pPr>
              <w:pStyle w:val="a4"/>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{"Y":22}</w:instrText>
              <w:fldChar w:fldCharType="separate"/>
              <w:t xml:space="preserve">Pudratchining telefon raqami</w:t>
            </w:r>
            <w:r>
              <w:rPr>
                <w:vanish w:val="false"/>
                <w:sz w:val="28"/>
                <w:rFonts w:ascii="Times New Roman" w:hAnsi="Times New Roman"/>
              </w:rPr>
              <w:fldChar w:fldCharType="end"/>
            </w:r>
          </w:p>
        </w:tc>
      </w:tr>
      <w:tr>
        <w:trPr>
          <w:trHeight w:val="750"/>
        </w:trPr>
        <w:tc>
          <w:tcPr>
            <w:tcW w:w="2325" w:type="dxa"/>
          </w:tcPr>
          <w:p>
            <w:pPr>
              <w:pStyle w:val="a4"/>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{"Y":8}</w:instrText>
              <w:fldChar w:fldCharType="separate"/>
              <w:t xml:space="preserve">Buyurtmachi tomonidan imzo chekuvchi shaxsning lavozimi va F.I.O.si</w:t>
            </w:r>
            <w:r>
              <w:rPr>
                <w:vanish w:val="false"/>
                <w:sz w:val="28"/>
                <w:rFonts w:ascii="Times New Roman" w:hAnsi="Times New Roman"/>
              </w:rPr>
              <w:fldChar w:fldCharType="end"/>
            </w:r>
          </w:p>
        </w:tc>
        <w:tc>
          <w:tcPr>
            <w:tcW w:w="2206" w:type="dxa"/>
          </w:tcPr>
          <w:p>
            <w:pPr>
              <w:rPr>
                <w:b/>
                <w:i/>
                <w:sz w:val="28"/>
                <w:rFonts w:ascii="Times New Roman" w:hAnsi="Times New Roman"/>
              </w:rPr>
            </w:pPr>
            <w:r>
              <w:rPr>
                <w:sz w:val="28"/>
                <w:rFonts w:ascii="Times New Roman" w:hAnsi="Times New Roman"/>
              </w:rPr>
              <w:t>____________</w:t>
            </w:r>
          </w:p>
        </w:tc>
        <w:tc>
          <w:tcPr>
            <w:tcW w:w="284" w:type="dxa"/>
          </w:tcPr>
          <w:p>
            <w:pPr>
              <w:pStyle w:val="a4"/>
              <w:jc w:val="both"/>
              <w:ind w:left="0"/>
              <w:spacing w:line="288" w:lineRule="auto"/>
              <w:rPr>
                <w:b/>
                <w:sz w:val="28"/>
                <w:rFonts w:ascii="Times New Roman" w:hAnsi="Times New Roman"/>
              </w:rPr>
            </w:pPr>
          </w:p>
        </w:tc>
        <w:tc>
          <w:tcPr>
            <w:tcW w:w="2385" w:type="dxa"/>
          </w:tcPr>
          <w:p>
            <w:pPr>
              <w:pStyle w:val="a4"/>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Pudratchi tashkilot rahbarining lavozimi va F.I.O.si</w:t>
            </w:r>
            <w:r>
              <w:rPr>
                <w:vanish w:val="false"/>
                <w:sz w:val="28"/>
                <w:rFonts w:ascii="Times New Roman" w:hAnsi="Times New Roman"/>
              </w:rPr>
              <w:fldChar w:fldCharType="end"/>
            </w:r>
            <w:r>
              <w:rPr>
                <w:sz w:val="28"/>
                <w:rFonts w:ascii="Times New Roman" w:hAnsi="Times New Roman"/>
              </w:rPr>
              <w:t xml:space="preserve">         </w:t>
            </w:r>
          </w:p>
          <w:p>
            <w:pPr>
              <w:pStyle w:val="a4"/>
              <w:jc w:val="both"/>
              <w:ind w:left="0"/>
              <w:spacing w:line="288" w:lineRule="auto"/>
              <w:rPr>
                <w:b/>
                <w:sz w:val="28"/>
                <w:rFonts w:ascii="Times New Roman" w:hAnsi="Times New Roman"/>
              </w:rPr>
            </w:pPr>
          </w:p>
        </w:tc>
        <w:tc>
          <w:tcPr>
            <w:tcW w:w="2145" w:type="dxa"/>
          </w:tcPr>
          <w:p>
            <w:pPr>
              <w:rPr>
                <w:b/>
                <w:sz w:val="28"/>
                <w:rFonts w:ascii="Times New Roman" w:hAnsi="Times New Roman"/>
              </w:rPr>
            </w:pPr>
            <w:r>
              <w:rPr>
                <w:sz w:val="28"/>
                <w:rFonts w:ascii="Times New Roman" w:hAnsi="Times New Roman"/>
              </w:rPr>
              <w:t>_____________</w:t>
            </w:r>
          </w:p>
        </w:tc>
      </w:tr>
      <w:tr>
        <w:trPr>
          <w:trHeight w:val="608"/>
        </w:trPr>
        <w:tc>
          <w:tcPr>
            <w:tcW w:w="2325" w:type="dxa"/>
          </w:tcPr>
          <w:p>
            <w:pPr>
              <w:pStyle w:val="a4"/>
              <w:jc w:val="both"/>
              <w:ind w:left="0"/>
              <w:spacing w:line="288" w:lineRule="auto"/>
              <w:rPr>
                <w:b/>
                <w:sz w:val="28"/>
                <w:rFonts w:ascii="Times New Roman" w:hAnsi="Times New Roman"/>
              </w:rPr>
            </w:pPr>
          </w:p>
        </w:tc>
        <w:tc>
          <w:tcPr>
            <w:tcW w:w="2206" w:type="dxa"/>
          </w:tcPr>
          <w:p>
            <w:pPr>
              <w:jc w:val="center"/>
              <w:rPr>
                <w:b/>
                <w:i/>
                <w:sz w:val="28"/>
                <w:rFonts w:ascii="Times New Roman" w:hAnsi="Times New Roman"/>
              </w:rPr>
            </w:pPr>
            <w:r>
              <w:rPr>
                <w:b/>
                <w:i/>
                <w:sz w:val="28"/>
                <w:rFonts w:ascii="Times New Roman" w:hAnsi="Times New Roman"/>
              </w:rPr>
              <w:t>(muhr)</w:t>
            </w:r>
          </w:p>
        </w:tc>
        <w:tc>
          <w:tcPr>
            <w:tcW w:w="284" w:type="dxa"/>
          </w:tcPr>
          <w:p>
            <w:pPr>
              <w:pStyle w:val="a4"/>
              <w:jc w:val="both"/>
              <w:ind w:left="0"/>
              <w:spacing w:line="288" w:lineRule="auto"/>
              <w:rPr>
                <w:b/>
                <w:sz w:val="28"/>
                <w:rFonts w:ascii="Times New Roman" w:hAnsi="Times New Roman"/>
              </w:rPr>
            </w:pPr>
          </w:p>
        </w:tc>
        <w:tc>
          <w:tcPr>
            <w:tcW w:w="2385" w:type="dxa"/>
          </w:tcPr>
          <w:p>
            <w:pPr>
              <w:pStyle w:val="a4"/>
              <w:jc w:val="both"/>
              <w:ind w:left="0"/>
              <w:spacing w:line="288" w:lineRule="auto"/>
              <w:rPr>
                <w:b/>
                <w:sz w:val="28"/>
                <w:rFonts w:ascii="Times New Roman" w:hAnsi="Times New Roman"/>
              </w:rPr>
            </w:pPr>
          </w:p>
        </w:tc>
        <w:tc>
          <w:tcPr>
            <w:tcW w:w="2145" w:type="dxa"/>
          </w:tcPr>
          <w:p>
            <w:pPr>
              <w:jc w:val="center"/>
              <w:rPr>
                <w:b/>
                <w:sz w:val="28"/>
                <w:rFonts w:ascii="Times New Roman" w:hAnsi="Times New Roman"/>
              </w:rPr>
            </w:pPr>
            <w:r>
              <w:rPr>
                <w:b/>
                <w:i/>
                <w:sz w:val="28"/>
                <w:rFonts w:ascii="Times New Roman" w:hAnsi="Times New Roman"/>
              </w:rPr>
              <w:t>(muhr)</w:t>
            </w:r>
          </w:p>
        </w:tc>
      </w:tr>
    </w:tbl>
    <w:p>
      <w:pPr>
        <w:jc w:val="both"/>
        <w:ind w:firstLine="425"/>
        <w:spacing w:after="0"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ABD"/>
    <w:rsid w:val="000124E7"/>
    <w:rsid w:val="0001785D"/>
    <w:rsid w:val="00022E5B"/>
    <w:rsid w:val="00027565"/>
    <w:rsid w:val="00043857"/>
    <w:rsid w:val="00084019"/>
    <w:rsid w:val="00090D73"/>
    <w:rsid w:val="000B2F6D"/>
    <w:rsid w:val="000B4DF7"/>
    <w:rsid w:val="000D143F"/>
    <w:rsid w:val="00116B9E"/>
    <w:rsid w:val="00121FBA"/>
    <w:rsid w:val="001311DC"/>
    <w:rsid w:val="0016089E"/>
    <w:rsid w:val="001715D9"/>
    <w:rsid w:val="00185525"/>
    <w:rsid w:val="001A2DEB"/>
    <w:rsid w:val="001C6A04"/>
    <w:rsid w:val="001D7A40"/>
    <w:rsid w:val="001E59FE"/>
    <w:rsid w:val="0020098A"/>
    <w:rsid w:val="00215653"/>
    <w:rsid w:val="00223AB7"/>
    <w:rsid w:val="002456E9"/>
    <w:rsid w:val="003068D9"/>
    <w:rsid w:val="00353A49"/>
    <w:rsid w:val="00363677"/>
    <w:rsid w:val="00395908"/>
    <w:rsid w:val="00396D11"/>
    <w:rsid w:val="003D27C3"/>
    <w:rsid w:val="003F0D1C"/>
    <w:rsid w:val="00414315"/>
    <w:rsid w:val="004176BE"/>
    <w:rsid w:val="00443492"/>
    <w:rsid w:val="004467A7"/>
    <w:rsid w:val="0046238F"/>
    <w:rsid w:val="00466B3E"/>
    <w:rsid w:val="00487D57"/>
    <w:rsid w:val="004C37C9"/>
    <w:rsid w:val="00531122"/>
    <w:rsid w:val="00536D7F"/>
    <w:rsid w:val="00541B87"/>
    <w:rsid w:val="00545903"/>
    <w:rsid w:val="005636A8"/>
    <w:rsid w:val="005F6E05"/>
    <w:rsid w:val="00635B5D"/>
    <w:rsid w:val="00653379"/>
    <w:rsid w:val="006911EA"/>
    <w:rsid w:val="006912E3"/>
    <w:rsid w:val="006B4095"/>
    <w:rsid w:val="006D594B"/>
    <w:rsid w:val="006F2E46"/>
    <w:rsid w:val="00725C5D"/>
    <w:rsid w:val="00755DE3"/>
    <w:rsid w:val="007C77A4"/>
    <w:rsid w:val="007F57CE"/>
    <w:rsid w:val="00801E29"/>
    <w:rsid w:val="00851547"/>
    <w:rsid w:val="00865AA3"/>
    <w:rsid w:val="00874359"/>
    <w:rsid w:val="008C1F28"/>
    <w:rsid w:val="00930F58"/>
    <w:rsid w:val="009432EA"/>
    <w:rsid w:val="00981CE3"/>
    <w:rsid w:val="00993297"/>
    <w:rsid w:val="009A76AD"/>
    <w:rsid w:val="009B70EB"/>
    <w:rsid w:val="009C2112"/>
    <w:rsid w:val="009F510E"/>
    <w:rsid w:val="00A03867"/>
    <w:rsid w:val="00A321A2"/>
    <w:rsid w:val="00AA250A"/>
    <w:rsid w:val="00AB37F2"/>
    <w:rsid w:val="00AC4129"/>
    <w:rsid w:val="00AE44CF"/>
    <w:rsid w:val="00AE5108"/>
    <w:rsid w:val="00B65E3B"/>
    <w:rsid w:val="00B7281E"/>
    <w:rsid w:val="00B901AF"/>
    <w:rsid w:val="00BD10C1"/>
    <w:rsid w:val="00BE76C2"/>
    <w:rsid w:val="00BF60E1"/>
    <w:rsid w:val="00C20D1F"/>
    <w:rsid w:val="00C270DF"/>
    <w:rsid w:val="00C47BDC"/>
    <w:rsid w:val="00C6305F"/>
    <w:rsid w:val="00CB5EF4"/>
    <w:rsid w:val="00CD2F06"/>
    <w:rsid w:val="00CF61AB"/>
    <w:rsid w:val="00D00CD2"/>
    <w:rsid w:val="00D023C6"/>
    <w:rsid w:val="00D27A94"/>
    <w:rsid w:val="00D41B3F"/>
    <w:rsid w:val="00DC05BD"/>
    <w:rsid w:val="00DC3272"/>
    <w:rsid w:val="00DC557B"/>
    <w:rsid w:val="00DD7872"/>
    <w:rsid w:val="00DF5705"/>
    <w:rsid w:val="00E05709"/>
    <w:rsid w:val="00E407A2"/>
    <w:rsid w:val="00E41CEA"/>
    <w:rsid w:val="00E56946"/>
    <w:rsid w:val="00EB2CEA"/>
    <w:rsid w:val="00ED3ABD"/>
    <w:rsid w:val="00EE2972"/>
    <w:rsid w:val="00EF5C24"/>
    <w:rsid w:val="00F22C3E"/>
    <w:rsid w:val="00F675B7"/>
    <w:rsid w:val="00F86300"/>
    <w:rsid w:val="00F92DA0"/>
    <w:rsid w:val="00F93AA2"/>
    <w:rsid w:val="00FD0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FFD68D-55A6-4EB7-8190-B2EFD13E3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C6A0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1505</Words>
  <Characters>8582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2022-08-20T12:53:00Z</dcterms:created>
  <dcterms:modified xsi:type="dcterms:W3CDTF">2022-08-20T12:53:00Z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w:name>
    <w:value w:hidden="false">
      <w:unit w:active="false"/>
      <w:binding w:dataSource="1" w:column="district_name" w:search="false"/>
    </w:value>
  </w:element>
  <w:element w:id="5" w:kind="category" w:selector="check" w:type="string" w:valueMode="normal" w:required="false">
    <w:identifier xml:space="preserve">ID5</w:identifier>
    <w:name xml:space="preserve">II. Buyurtmachi</w:name>
    <w:value w:hidden="true">
      <w:unit w:active="false"/>
    </w:value>
  </w:element>
  <w:element w:id="6" w:kind="variable" w:selector="check" w:type="string" w:valueMode="normal" w:required="false" w:groupID="5">
    <w:identifier xml:space="preserve">ID6</w:identifier>
    <w:name xml:space="preserve">Buyurtmachi tashkilotning nomi, tashkiliy huquqiy shakli</w:name>
    <w:value w:hidden="false">
      <w:unit w:active="false"/>
    </w:value>
  </w:element>
  <w:element w:id="7" w:kind="variable" w:selector="check" w:type="string" w:valueMode="normal" w:required="false" w:groupID="5">
    <w:identifier xml:space="preserve">ID7</w:identifier>
    <w:name xml:space="preserve">Buyurtmachiga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 tomonidan imzo chekuvchi shaxsning lavozimi va F.I.O.si</w:name>
    <w:value w:hidden="false">
      <w:unit w:active="false"/>
    </w:value>
  </w:element>
  <w:element w:id="9" w:kind="variable" w:selector="check" w:type="string" w:valueMode="normal" w:required="false" w:groupID="5">
    <w:identifier xml:space="preserve">ID9</w:identifier>
    <w:name xml:space="preserve">Buyurtmachining joylashgan manzili</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pul operatsiyalarini amalga oshiruvchi bank nomi</w:name>
    <w:value w:hidden="false">
      <w:unit w:active="false"/>
    </w:value>
  </w:element>
  <w:element w:id="12" w:kind="variable" w:selector="check" w:type="number" w:valueMode="normal" w:required="false" w:groupID="5">
    <w:identifier xml:space="preserve">ID12</w:identifier>
    <w:name xml:space="preserve">Buyurtmachining STIR raqami</w:name>
    <w:value w:hidden="false">
      <w:unit w:active="false"/>
    </w:value>
  </w:element>
  <w:element w:id="13" w:kind="variable" w:selector="check" w:type="number" w:valueMode="normal" w:required="false" w:groupID="5">
    <w:identifier xml:space="preserve">ID13</w:identifier>
    <w:name xml:space="preserve">Buyurtmachining aloqa raqami</w:name>
    <w:value w:hidden="false">
      <w:unit w:active="false"/>
    </w:value>
  </w:element>
  <w:element w:id="14" w:kind="category" w:selector="check" w:type="string" w:valueMode="normal" w:required="false">
    <w:identifier xml:space="preserve">ID14</w:identifier>
    <w:name xml:space="preserve">III. Pudratchi</w:name>
    <w:value w:hidden="true">
      <w:unit w:active="false"/>
    </w:value>
  </w:element>
  <w:element w:id="15" w:kind="variable" w:selector="check" w:type="string" w:valueMode="normal" w:required="false" w:groupID="14">
    <w:identifier xml:space="preserve">ID15</w:identifier>
    <w:name xml:space="preserve">Pudratchining nomi, tashkiliy huquqiy shakli</w:name>
    <w:value w:hidden="false">
      <w:unit w:active="false"/>
    </w:value>
  </w:element>
  <w:element w:id="16" w:kind="variable" w:selector="check" w:type="string" w:valueMode="normal" w:required="false" w:groupID="14">
    <w:identifier xml:space="preserve">ID16</w:identifier>
    <w:name xml:space="preserve">Pudratchiga shartnoma tuzish huquqini beruvchi hujjat</w:name>
    <w:comment xml:space="preserve">Masalan Ustav, Nizom yoki ishonchnoma</w:comment>
    <w:value w:hidden="false">
      <w:unit w:active="false"/>
    </w:value>
  </w:element>
  <w:element w:id="17" w:kind="variable" w:selector="check" w:type="string" w:valueMode="normal" w:required="false" w:groupID="14">
    <w:identifier xml:space="preserve">ID17</w:identifier>
    <w:name xml:space="preserve">Pudratchi tashkilot rahbarining lavozimi va F.I.O.si</w:name>
    <w:value w:hidden="false">
      <w:unit w:active="false"/>
    </w:value>
  </w:element>
  <w:element w:id="18" w:kind="variable" w:selector="check" w:type="string" w:valueMode="normal" w:required="false" w:groupID="14">
    <w:identifier xml:space="preserve">ID18</w:identifier>
    <w:name xml:space="preserve">Pudratchining manzili</w:name>
    <w:value w:hidden="false">
      <w:unit w:active="false"/>
    </w:value>
  </w:element>
  <w:element w:id="19" w:kind="variable" w:selector="check" w:type="string" w:valueMode="normal" w:required="false" w:groupID="14">
    <w:identifier xml:space="preserve">ID19</w:identifier>
    <w:name xml:space="preserve">Pudratchining hisob raqami</w:name>
    <w:value w:hidden="false">
      <w:unit w:active="false"/>
    </w:value>
  </w:element>
  <w:element w:id="20" w:kind="variable" w:selector="check" w:type="string" w:valueMode="normal" w:required="false" w:groupID="14">
    <w:identifier xml:space="preserve">ID20</w:identifier>
    <w:name xml:space="preserve">Pudratchining pul operatsiyalarini amalga oshiruvchi bank nomi</w:name>
    <w:value w:hidden="false">
      <w:unit w:active="false"/>
    </w:value>
  </w:element>
  <w:element w:id="21" w:kind="variable" w:selector="check" w:type="number" w:valueMode="normal" w:required="false" w:groupID="14">
    <w:identifier xml:space="preserve">ID21</w:identifier>
    <w:name xml:space="preserve">Pudratchining STIR raqami</w:name>
    <w:value w:hidden="false">
      <w:unit w:active="false"/>
    </w:value>
  </w:element>
  <w:element w:id="22" w:kind="variable" w:selector="check" w:type="number" w:valueMode="normal" w:required="false" w:groupID="14">
    <w:identifier xml:space="preserve">ID22</w:identifier>
    <w:name xml:space="preserve">Pudratchining telefon raqami</w:name>
    <w:value w:hidden="false">
      <w:unit w:active="false"/>
    </w:value>
  </w:element>
  <w:element w:id="24" w:kind="category" w:selector="check" w:type="string" w:valueMode="normal" w:required="false">
    <w:identifier xml:space="preserve">ID24</w:identifier>
    <w:name xml:space="preserve">IV. Shartnoma shartlari</w:name>
    <w:value w:hidden="true">
      <w:unit w:active="false"/>
    </w:value>
  </w:element>
  <w:element w:id="25" w:kind="variable" w:selector="check" w:type="string" w:valueMode="normal" w:required="false" w:groupID="24">
    <w:identifier xml:space="preserve">ID25</w:identifier>
    <w:name xml:space="preserve">Pudratchi tomonidan ko‘rsatiladigan transport xizmati turlari</w:name>
    <w:comment xml:space="preserve">Izoh: Masalan yuk tashish, yo‘lovchi tashish va h.k.</w:comment>
    <w:value w:hidden="false">
      <w:unit w:active="false"/>
    </w:value>
  </w:element>
  <w:element w:id="26" w:kind="variable" w:selector="check" w:type="string" w:valueMode="normal" w:required="false" w:groupID="24">
    <w:identifier xml:space="preserve">ID26</w:identifier>
    <w:name xml:space="preserve">Pudratchining boshqa majburiyatlari</w:name>
    <w:value w:hidden="false">
      <w:unit w:active="false"/>
    </w:value>
  </w:element>
  <w:element w:id="27" w:kind="variable" w:selector="check" w:type="string" w:valueMode="normal" w:required="false" w:groupID="24">
    <w:identifier xml:space="preserve">ID27</w:identifier>
    <w:name xml:space="preserve">Pudratchining boshqa huquqlari</w:name>
    <w:value w:hidden="false">
      <w:unit w:active="false"/>
    </w:value>
  </w:element>
  <w:element w:id="28" w:kind="variable" w:selector="check" w:type="string" w:valueMode="normal" w:required="false" w:groupID="24">
    <w:identifier xml:space="preserve">ID28</w:identifier>
    <w:name xml:space="preserve">Buyurtmachining boshqa majburiyatlari</w:name>
    <w:value w:hidden="false">
      <w:unit w:active="false"/>
    </w:value>
  </w:element>
  <w:element w:id="29" w:kind="variable" w:selector="check" w:type="string" w:valueMode="normal" w:required="false" w:groupID="24">
    <w:identifier xml:space="preserve">ID29</w:identifier>
    <w:name xml:space="preserve">Buyurtmachining boshqa huquqlari</w:name>
    <w:value w:hidden="false">
      <w:unit w:active="false"/>
    </w:value>
  </w:element>
  <w:element w:id="30" w:kind="variable" w:selector="check" w:type="percent" w:valueMode="normal" w:required="false" w:groupID="24">
    <w:identifier xml:space="preserve">ID30</w:identifier>
    <w:name xml:space="preserve">To‘lov kechiktirilgan taqdirda pudratchiga to‘lanadigan jarima miqdori</w:name>
    <w:value w:hidden="false">
      <w:unit w:active="false"/>
    </w:value>
  </w:element>
  <w:element w:id="31" w:kind="variable" w:selector="check" w:type="string" w:valueMode="normal" w:required="false" w:groupID="24">
    <w:identifier xml:space="preserve">ID31</w:identifier>
    <w:name xml:space="preserve">Низолар юзасидан тарафлар мурожаат қиладиган суд номи</w:name>
    <w:value w:hidden="false">
      <w:unit w:active="false"/>
      <w:binding w:dataSource="2" w:column="court_name" w:search="false"/>
    </w:value>
  </w:element>
</w:structure>
</file>