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2409"/>
        <w:gridCol w:w="3821"/>
      </w:tblGrid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b/>
                <w:sz w:val="28"/>
                <w:rFonts w:ascii="Times New Roman" w:hAnsi="Times New Roman"/>
              </w:rPr>
              <w:t xml:space="preserve">Fuqarolik ishlari bo‘yicha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  <w:t xml:space="preserve">Da’vo-ariza berilgan fuqarolik ishlari bo‘yicha sud nomi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sudiga </w:t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b/>
                <w:sz w:val="28"/>
                <w:rFonts w:ascii="Times New Roman" w:hAnsi="Times New Roman"/>
              </w:rPr>
              <w:t xml:space="preserve">Da’vogar (prokuror):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Da’vogarning F.I.O.si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  <w:t xml:space="preserve">Da’vo ariza bergan prokuratura joylashgan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  <w:t xml:space="preserve">Da’vogarning telefon raqamlari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  <w:t xml:space="preserve">Da’vogarning pochta (elektron)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b/>
                <w:sz w:val="28"/>
                <w:rFonts w:ascii="Times New Roman" w:hAnsi="Times New Roman"/>
              </w:rPr>
              <w:t xml:space="preserve">Birinchi javobgar (er):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  <w:t xml:space="preserve">Javobgarning F.I.O.si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  <w:t xml:space="preserve">Javobgarning telefon raqamlari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  <w:t xml:space="preserve">Javobgarning pochta (elektron)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b/>
                <w:sz w:val="28"/>
                <w:rFonts w:ascii="Times New Roman" w:hAnsi="Times New Roman"/>
              </w:rPr>
              <w:t xml:space="preserve">Ikkinchi javobgar (xotin):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  <w:t xml:space="preserve">Javobgarning F.I.O.si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  <w:t xml:space="preserve">Javobgarning yashash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  <w:t xml:space="preserve">Javobgarning telefon raqamlari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  <w:tr>
        <w:tc>
          <w:tcPr>
            <w:tcW w:w="3115" w:type="dxa"/>
          </w:tcPr>
          <w:p/>
        </w:tc>
        <w:tc>
          <w:tcPr>
            <w:tcW w:w="2409" w:type="dxa"/>
          </w:tcPr>
          <w:p/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  <w:t xml:space="preserve">Javobgarning pochta (elektron) manzili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/>
    <w:p>
      <w:pPr>
        <w:jc w:val="center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 A ‘ V O A R I Z A S I</w:t>
      </w:r>
    </w:p>
    <w:p>
      <w:pPr>
        <w:jc w:val="center"/>
        <w:ind w:firstLine="425"/>
        <w:spacing w:after="0" w:line="288" w:lineRule="auto"/>
        <w:rPr>
          <w:i/>
          <w:sz w:val="28"/>
          <w:rFonts w:ascii="Times New Roman" w:hAnsi="Times New Roman"/>
        </w:rPr>
      </w:pPr>
      <w:r>
        <w:rPr>
          <w:i/>
          <w:sz w:val="28"/>
          <w:rFonts w:ascii="Times New Roman" w:hAnsi="Times New Roman"/>
        </w:rPr>
        <w:t xml:space="preserve">(Turmush o‘rtog‘i boshqa nikohda bo‘lgani sababli nikohni haqiqiy emas deb topish to‘g‘risida)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. va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Javogarlarni qayd etgan tuman (shahar) FHDYo bo‘limi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FHDYo bo‘limida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FHDYo bo‘limida nikoh qayd etilgan raqam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-son bilan qayd etilgan qonuniy nikohdan o‘tib turmush qurishgan.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Aniqlanishicha,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Javogarlarni qayd etgan tuman (shahar) FHDYo bo‘limi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FHDYo bo‘limi birinchi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ning ilgari nikohdan o‘tganligini bilsada,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va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larning nikohdan o‘tishiga ruxsat bergan.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Oila Kodeksning 16-moddasida loaqal bittasi ro‘yxatga olingan boshqa nikohda turgan bo‘lsa bu yana nikoh tuzishga monelik qilishi belgilangan.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Oila kodeksining 52-moddasiga ko‘ra, loaqal bittasi ro‘yxatga olingan boshqa nikohda turgan</w:t>
      </w:r>
      <w:r>
        <w:rPr>
          <w:color w:val="000000"/>
          <w:sz w:val="28"/>
          <w:rFonts w:ascii="Times New Roman" w:hAnsi="Times New Roman"/>
        </w:rPr>
        <w:t xml:space="preserve"> bo‘lsada yana nikohdan o‘tgan hollarda tuzilgan nikoh haqiqiy emas deb topilishi ko‘rsatilgan.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Shuningdek, Ushbu Oila Kodeksining </w:t>
      </w:r>
      <w:r>
        <w:fldChar w:fldCharType="begin"/>
        <w:instrText xml:space="preserve">HYPERLINK "javascript:scrollText(158639)"</w:instrText>
        <w:fldChar w:fldCharType="separate"/>
      </w:r>
      <w:r>
        <w:fldChar w:fldCharType="end"/>
      </w:r>
      <w:r>
        <w:rPr>
          <w:color w:val="000000"/>
          <w:sz w:val="28"/>
          <w:rFonts w:ascii="Times New Roman" w:hAnsi="Times New Roman"/>
        </w:rPr>
        <w:t xml:space="preserve">16-moddasida ko‘rsatilgan asoslar bo‘yicha nikohni haqiqiy emas deb topishni er-xotin, shu nikohning tuzilishi natijasida huquqlari buzilgan shaxslar, shuningdek vasiylik va homiylik organi hamda prokuror talab qilishga haqlidir.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Shu sababli nikoh tuzilganligi qilinganligini haqiqiy emas deb topish lozim bo‘ladi.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Yuqoridagilarga asosan hamda O‘zbekiston Respublikasi Oila kodeksining, 16 hamda 52-moddalariga, O‘zbekiston Respublikasi Fuqarolik protsessual kodeksining 188, 189-191-moddalariga asosan, suddan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center"/>
        <w:ind w:firstLine="425"/>
        <w:spacing w:after="0" w:line="288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Javobgarlar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 va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Javobgarning F.I.O.si</w:t>
      </w:r>
      <w:r>
        <w:rPr>
          <w:vanish w:val="false"/>
          <w:sz w:val="28"/>
          <w:rFonts w:ascii="Times New Roman" w:hAnsi="Times New Roman"/>
        </w:rPr>
        <w:fldChar w:fldCharType="end"/>
      </w:r>
      <w:r>
        <w:rPr>
          <w:sz w:val="28"/>
          <w:rFonts w:ascii="Times New Roman" w:hAnsi="Times New Roman"/>
        </w:rPr>
        <w:t xml:space="preserve">lar bilan tuzilgan nikohni haqiqiy emas deb topishni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  <w:t xml:space="preserve">Da’vogarning F.I.O.si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spacing w:line="288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  <w:t xml:space="preserve">Ariza yozilgan sana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end"/>
            </w:r>
          </w:p>
        </w:tc>
      </w:tr>
    </w:tbl>
    <w:p/>
    <w:p>
      <w:pPr>
        <w:rPr>
          <w:sz w:val="28"/>
          <w:rFonts w:ascii="Times New Roman" w:hAnsi="Times New Roman"/>
        </w:rPr>
      </w:pPr>
    </w:p>
    <w:p>
      <w:pPr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DF"/>
    <w:rsid w:val="000959F7"/>
    <w:rsid w:val="002634DF"/>
    <w:rsid w:val="003104C0"/>
    <w:rsid w:val="00373EE7"/>
    <w:rsid w:val="003A4FE0"/>
    <w:rsid w:val="00461E0B"/>
    <w:rsid w:val="00537ED4"/>
    <w:rsid w:val="00626F87"/>
    <w:rsid w:val="00836875"/>
    <w:rsid w:val="008469DC"/>
    <w:rsid w:val="00A53995"/>
    <w:rsid w:val="00B612E7"/>
    <w:rsid w:val="00F7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23701-6ABB-4636-971C-5F2CD6F6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2024-02-26T09:23:00Z</dcterms:created>
  <dcterms:modified xsi:type="dcterms:W3CDTF">2024-02-26T09:23:00Z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Da’vo 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Da’vo-ariza berilgan fuqarolik ishlari bo‘yicha sud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yozilgan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Da’vogar to‘g‘risida ma’lumotlar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 ariza bergan prokuratura joylashgan manzili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Da’vogarning telefon raqamlari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Da’vogarning pochta (elektron)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Birinchi javobgar to‘g‘risida ma’lumotlar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F.I.O.si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Javobgarning yashash manzili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raqamlari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pochta (elektron)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Ikkinchi javobgar to‘g‘risida ma’lumotlar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Javobgarning F.I.O.si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Javobgarning yashash manzili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Javobgarning telefon raqamlari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Javobgarning pochta (elektron) manzili</w:name>
    <w:value w:hidden="false">
      <w:unit w:active="false"/>
    </w:value>
  </w:element>
  <w:element w:id="19" w:kind="category" w:selector="check" w:type="string" w:valueMode="normal" w:required="false">
    <w:identifier xml:space="preserve">ID19</w:identifier>
    <w:name xml:space="preserve">Da’vo ariza mazmuni</w:name>
    <w:value w:hidden="true">
      <w:unit w:active="false"/>
    </w:value>
  </w:element>
  <w:element w:id="20" w:kind="variable" w:selector="check" w:type="string" w:valueMode="normal" w:required="false" w:groupID="19">
    <w:identifier xml:space="preserve">ID20</w:identifier>
    <w:name xml:space="preserve">Javogarlarni qayd etgan tuman (shahar) FHDYo bo‘limi</w:name>
    <w:value w:hidden="false">
      <w:unit w:active="false"/>
    </w:value>
  </w:element>
  <w:element w:id="21" w:kind="variable" w:selector="check" w:type="string" w:valueMode="normal" w:required="false" w:groupID="19">
    <w:identifier xml:space="preserve">ID21</w:identifier>
    <w:name xml:space="preserve">FHDYo bo‘limida nikoh qayd etilgan raqam</w:name>
    <w:value w:hidden="false">
      <w:unit w:active="false"/>
    </w:value>
  </w:element>
</w:structure>
</file>