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176" w:type="dxa"/>
      </w:tblPr>
      <w:tblGrid>
        <w:gridCol w:w="4510"/>
        <w:gridCol w:w="5272"/>
      </w:tblGrid>
      <w:tr>
        <w:tc>
          <w:tcPr>
            <w:tcW w:w="4510" w:type="dxa"/>
            <w:shd w:fill="auto"/>
          </w:tcPr>
          <w:p>
            <w:pPr>
              <w:jc w:val="right"/>
              <w:spacing w:line="276" w:lineRule="auto"/>
              <w:rPr>
                <w:b/>
              </w:rPr>
            </w:pPr>
          </w:p>
        </w:tc>
        <w:tc>
          <w:tcPr>
            <w:tcW w:w="5272" w:type="dxa"/>
            <w:shd w:fill="auto"/>
          </w:tcPr>
          <w:p>
            <w:pPr>
              <w:jc w:val="right"/>
              <w:rPr>
                <w:b/>
              </w:rPr>
            </w:pPr>
            <w:r>
              <w:rPr>
                <w:b/>
              </w:rPr>
              <w:t xml:space="preserve">Tarif qiymati:</w:t>
            </w:r>
          </w:p>
          <w:p>
            <w:pPr>
              <w:jc w:val="right"/>
            </w:pPr>
            <w:r>
              <w:t xml:space="preserve">       Suv 1 m3 </w:t>
            </w:r>
            <w:r>
              <w:rPr>
                <w:vanish w:val="false"/>
              </w:rPr>
              <w:fldChar w:fldCharType="begin"/>
              <w:instrText xml:space="preserve">X {"Y":21}</w:instrText>
              <w:fldChar w:fldCharType="separate"/>
            </w:r>
            <w:r>
              <w:rPr>
                <w:vanish w:val="false"/>
              </w:rPr>
              <w:t xml:space="preserve">“Isteʼmolchi”ga yetkazib berilgan 1m3 ichimlik suvi uchun to‘lov miqdori</w:t>
              <w:fldChar w:fldCharType="end"/>
            </w:r>
            <w:r>
              <w:t xml:space="preserve"> soʻm</w:t>
            </w:r>
          </w:p>
          <w:p>
            <w:pPr>
              <w:jc w:val="right"/>
              <w:spacing w:line="276" w:lineRule="auto"/>
              <w:rPr>
                <w:b/>
              </w:rPr>
            </w:pPr>
            <w:r>
              <w:rPr>
                <w:vanish w:val="false"/>
              </w:rPr>
            </w:r>
          </w:p>
        </w:tc>
      </w:tr>
      <w:tr>
        <w:tc>
          <w:tcPr>
            <w:tcW w:w="9782" w:type="dxa"/>
            <w:gridSpan w:val="2"/>
            <w:shd w:fill="auto"/>
          </w:tcPr>
          <w:p>
            <w:pPr>
              <w:jc w:val="center"/>
              <w:keepNext/>
              <w:spacing w:line="276" w:lineRule="auto"/>
              <w:outlineLvl w:val="0"/>
              <w:rPr>
                <w:b/>
              </w:rPr>
            </w:pPr>
            <w:r>
              <w:rPr>
                <w:b/>
                <w:vanish w:val="false"/>
                <w:rFonts w:ascii="Times New Roman" w:hAnsi="Times New Roman"/>
              </w:rPr>
              <w:t xml:space="preserve">Ulgurji isteʼmolchilarga (III guruh) suv tarqatish shaxobchalari (gusak)dan avtotransportlar orqali suv yetkazish boʻyicha </w:t>
            </w:r>
          </w:p>
          <w:p>
            <w:pPr>
              <w:jc w:val="center"/>
              <w:keepNext/>
              <w:spacing w:line="276" w:lineRule="auto"/>
              <w:outlineLvl w:val="0"/>
              <w:rPr>
                <w:b/>
              </w:rPr>
            </w:pPr>
            <w:r>
              <w:rPr>
                <w:b/>
                <w:vanish w:val="false"/>
                <w:rFonts w:ascii="Times New Roman" w:hAnsi="Times New Roman"/>
              </w:rPr>
              <w:fldChar w:fldCharType="begin"/>
              <w:instrText xml:space="preserve">X {"Y":3}</w:instrText>
              <w:fldChar w:fldCharType="separate"/>
            </w:r>
            <w:r>
              <w:rPr>
                <w:b/>
                <w:vanish w:val="false"/>
                <w:rFonts w:ascii="Times New Roman" w:hAnsi="Times New Roman"/>
              </w:rPr>
              <w:t xml:space="preserve">Shartnoma raqami</w:t>
              <w:fldChar w:fldCharType="end"/>
            </w:r>
            <w:r>
              <w:rPr>
                <w:b/>
                <w:vanish w:val="false"/>
                <w:rFonts w:ascii="Times New Roman" w:hAnsi="Times New Roman"/>
              </w:rPr>
              <w:t xml:space="preserve">-son SHARTNOMA</w:t>
            </w:r>
          </w:p>
          <w:p>
            <w:pPr>
              <w:jc w:val="center"/>
              <w:keepNext/>
              <w:spacing w:line="276" w:lineRule="auto"/>
              <w:outlineLvl w:val="0"/>
              <w:rPr>
                <w:b/>
              </w:rPr>
            </w:pPr>
            <w:r>
              <w:rPr>
                <w:b/>
                <w:vanish w:val="false"/>
                <w:rFonts w:ascii="Times New Roman" w:hAnsi="Times New Roman"/>
              </w:rPr>
            </w:r>
          </w:p>
        </w:tc>
      </w:tr>
      <w:tr>
        <w:tc>
          <w:tcPr>
            <w:tcW w:w="4510" w:type="dxa"/>
            <w:shd w:fill="auto"/>
          </w:tcPr>
          <w:p>
            <w:pPr>
              <w:jc w:val="center"/>
              <w:spacing w:line="276" w:lineRule="auto"/>
              <w:rPr>
                <w:b/>
              </w:rPr>
            </w:pPr>
            <w:r>
              <w:rPr>
                <w:b/>
                <w:vanish w:val="false"/>
                <w:rFonts w:ascii="Times New Roman" w:hAnsi="Times New Roman"/>
              </w:rPr>
              <w:fldChar w:fldCharType="begin"/>
              <w:instrText xml:space="preserve">X {"Y":2}</w:instrText>
              <w:fldChar w:fldCharType="separate"/>
            </w:r>
            <w:r>
              <w:rPr>
                <w:b/>
                <w:vanish w:val="false"/>
                <w:rFonts w:ascii="Times New Roman" w:hAnsi="Times New Roman"/>
              </w:rPr>
              <w:t xml:space="preserve">Shartnoma tuzilgan sana</w:t>
              <w:fldChar w:fldCharType="end"/>
            </w:r>
          </w:p>
        </w:tc>
        <w:tc>
          <w:tcPr>
            <w:tcW w:w="5272" w:type="dxa"/>
            <w:shd w:fill="auto"/>
          </w:tcPr>
          <w:p>
            <w:pPr>
              <w:jc w:val="center"/>
              <w:spacing w:line="276" w:lineRule="auto"/>
              <w:rPr>
                <w:b/>
              </w:rPr>
            </w:pPr>
            <w:r>
              <w:rPr>
                <w:b/>
                <w:vanish w:val="false"/>
                <w:rFonts w:ascii="Times New Roman" w:hAnsi="Times New Roman"/>
              </w:rPr>
              <w:fldChar w:fldCharType="begin"/>
              <w:instrText xml:space="preserve">X {"Y":4}</w:instrText>
              <w:fldChar w:fldCharType="separate"/>
            </w:r>
            <w:r>
              <w:rPr>
                <w:b/>
                <w:vanish w:val="false"/>
                <w:rFonts w:ascii="Times New Roman" w:hAnsi="Times New Roman"/>
              </w:rPr>
              <w:t xml:space="preserve">Shartnoma tuzilgan joy</w:t>
              <w:fldChar w:fldCharType="end"/>
            </w:r>
          </w:p>
          <w:p>
            <w:pPr>
              <w:jc w:val="center"/>
              <w:spacing w:line="276" w:lineRule="auto"/>
              <w:rPr>
                <w:b/>
              </w:rPr>
            </w:pPr>
            <w:r>
              <w:rPr>
                <w:vanish w:val="false"/>
              </w:rPr>
            </w:r>
          </w:p>
        </w:tc>
      </w:tr>
      <w:tr>
        <w:tc>
          <w:tcPr>
            <w:tcW w:w="9782" w:type="dxa"/>
            <w:gridSpan w:val="2"/>
            <w:shd w:fill="auto"/>
          </w:tcPr>
          <w:p>
            <w:pPr>
              <w:jc w:val="both"/>
              <w:ind w:firstLine="567"/>
              <w:spacing w:line="276" w:lineRule="auto"/>
              <w:rPr>
                <w:b/>
              </w:rPr>
            </w:pPr>
            <w:r>
              <w:rPr>
                <w:vanish w:val="false"/>
              </w:rPr>
              <w:t xml:space="preserve">Ushbu shartnoma </w:t>
            </w:r>
            <w:r>
              <w:rPr>
                <w:vanish w:val="false"/>
              </w:rPr>
              <w:fldChar w:fldCharType="begin"/>
              <w:instrText xml:space="preserve">X {"Y":6}</w:instrText>
              <w:fldChar w:fldCharType="separate"/>
            </w:r>
            <w:r>
              <w:rPr>
                <w:vanish w:val="false"/>
              </w:rPr>
              <w:t xml:space="preserve">“Taʼminotchi” tarafning nomi</w:t>
              <w:fldChar w:fldCharType="end"/>
            </w:r>
            <w:r>
              <w:rPr>
                <w:vanish w:val="false"/>
              </w:rPr>
              <w:t xml:space="preserve"> suv taʼminoti korxonasi (keyingi oʻrinlarda “Taʼminotchi” deb yuritiladi) nomidan Nizom asosida ish yurituvchi </w:t>
            </w:r>
            <w:r>
              <w:rPr>
                <w:vanish w:val="false"/>
              </w:rPr>
              <w:fldChar w:fldCharType="begin"/>
              <w:instrText xml:space="preserve">X {"Y":7}</w:instrText>
              <w:fldChar w:fldCharType="separate"/>
            </w:r>
            <w:r>
              <w:rPr>
                <w:vanish w:val="false"/>
              </w:rPr>
              <w:t xml:space="preserve">“Taʼminotchi” taraf nomidan ish olib boruvchi shaxsning lavozimi va F.I.O.si</w:t>
              <w:fldChar w:fldCharType="end"/>
            </w:r>
            <w:r>
              <w:rPr>
                <w:vanish w:val="false"/>
              </w:rPr>
              <w:t xml:space="preserve"> bir tomondan, </w:t>
            </w:r>
            <w:r>
              <w:rPr>
                <w:vanish w:val="false"/>
              </w:rPr>
              <w:fldChar w:fldCharType="begin"/>
              <w:instrText xml:space="preserve">X {"Y":15}</w:instrText>
              <w:fldChar w:fldCharType="separate"/>
            </w:r>
            <w:r>
              <w:rPr>
                <w:vanish w:val="false"/>
              </w:rPr>
              <w:t xml:space="preserve">Isteʼmolchining manzili</w:t>
              <w:fldChar w:fldCharType="end"/>
            </w:r>
            <w:r>
              <w:rPr>
                <w:vanish w:val="false"/>
              </w:rPr>
              <w:t xml:space="preserve"> manzilida joylashgan xonadon egasi </w:t>
            </w:r>
            <w:r>
              <w:rPr>
                <w:vanish w:val="false"/>
              </w:rPr>
              <w:fldChar w:fldCharType="begin"/>
              <w:instrText xml:space="preserve">X {"Y":14}</w:instrText>
              <w:fldChar w:fldCharType="separate"/>
            </w:r>
            <w:r>
              <w:rPr>
                <w:vanish w:val="false"/>
              </w:rPr>
              <w:t xml:space="preserve">Isteʼmolchining F.I.Osi</w:t>
              <w:fldChar w:fldCharType="end"/>
            </w:r>
            <w:r>
              <w:rPr>
                <w:vanish w:val="false"/>
              </w:rPr>
              <w:t xml:space="preserve">  (keyingi oʻrinlarda “Isteʼmolchi” deb yuritiladi) ikkinchi tomondan quyidagilar haqida tuzildi.</w:t>
            </w:r>
          </w:p>
        </w:tc>
      </w:tr>
      <w:tr>
        <w:tc>
          <w:tcPr>
            <w:tcW w:w="9782" w:type="dxa"/>
            <w:gridSpan w:val="2"/>
            <w:shd w:fill="auto"/>
          </w:tcPr>
          <w:p>
            <w:pPr>
              <w:jc w:val="center"/>
              <w:ind w:firstLine="284"/>
              <w:spacing w:before="120" w:after="120" w:line="276" w:lineRule="auto"/>
              <w:rPr>
                <w:b/>
              </w:rPr>
            </w:pPr>
            <w:r>
              <w:rPr>
                <w:b/>
                <w:vanish w:val="false"/>
                <w:rFonts w:ascii="Times New Roman" w:hAnsi="Times New Roman"/>
              </w:rPr>
              <w:t xml:space="preserve">I. SHARTNOMA PREDMETI</w:t>
            </w:r>
          </w:p>
          <w:p>
            <w:pPr>
              <w:jc w:val="both"/>
              <w:ind w:firstLine="549"/>
              <w:spacing w:line="276" w:lineRule="auto"/>
            </w:pPr>
            <w:r>
              <w:rPr>
                <w:vanish w:val="false"/>
              </w:rPr>
              <w:t xml:space="preserve">1.1. “Taʼminotchi” “Isteʼmolchi”ni maxaliy davlat xokimiyati idoralari tomonidan ichimlik suv bir km.ga xisoblangan naxda, belgilangan avtotrasport vositasida aniq muddatda va miqdorda ichimlik suvi bilan taʼminlaydi. Ichimlik suvini sutkasiga </w:t>
            </w:r>
            <w:r>
              <w:rPr>
                <w:vanish w:val="false"/>
              </w:rPr>
              <w:fldChar w:fldCharType="begin"/>
              <w:instrText xml:space="preserve">X {"Y":22}</w:instrText>
              <w:fldChar w:fldCharType="separate"/>
            </w:r>
            <w:r>
              <w:rPr>
                <w:vanish w:val="false"/>
              </w:rPr>
              <w:t xml:space="preserve">Bir sutkada yetkazib beriladigan ichimlik suvi limiti miqdori (1m3)</w:t>
              <w:fldChar w:fldCharType="end"/>
            </w:r>
            <w:r>
              <w:rPr>
                <w:vanish w:val="false"/>
              </w:rPr>
              <w:t xml:space="preserve"> m3 miqdorida, tarif qiymatida (QQS ni hisobga olgan holda) xoʻjalik-maishiy va ishlab chiqarish-texnologik ehtiyojlarga ishlatiladi.</w:t>
            </w:r>
          </w:p>
          <w:p>
            <w:pPr>
              <w:jc w:val="both"/>
              <w:ind w:firstLine="549"/>
              <w:spacing w:line="276" w:lineRule="auto"/>
            </w:pPr>
            <w:r>
              <w:rPr>
                <w:vanish w:val="false"/>
              </w:rPr>
              <w:t xml:space="preserve">1.2. “Isteʼmolchi” oʻrnatilgan muddatlar ichida “Taʼminotchi”ga yetkazgan suv uchun toʻlovlarni oʻz vaqtida amalga oshirish majburiyatini oʻz zimmasiga oladi.</w:t>
            </w:r>
          </w:p>
          <w:p>
            <w:pPr>
              <w:jc w:val="both"/>
              <w:ind w:firstLine="549"/>
              <w:spacing w:line="276" w:lineRule="auto"/>
              <w:rPr>
                <w:b/>
                <w:rFonts w:ascii="Times New Roman" w:hAnsi="Times New Roman"/>
              </w:rPr>
            </w:pPr>
            <w:r>
              <w:rPr>
                <w:vanish w:val="false"/>
              </w:rPr>
              <w:t xml:space="preserve">1.3. Taraflar ushbu shartnomaning suv taʼminoti boʻyicha shartlarini bajarish, Oʻzbekiston Respublikasi Vazirlar Mahkamasining 2014-yil 15-iyuldagi 194-sonli qarori bilan tasdiqlangan “Isteʼmolchilarga suv taʼminoti va suv chiqarish xizmatlari koʻrsatish Qoidalari”ga (keyinchalik matnda – Qoidalar deb yuritiladi), Oʻzbekiston Respublikasi Prezidentining 2017-yilning 16 noyabdagi “Suv taʼminoti va suv chiqarish xizmati koʻrsatish sohasida toʻlov intizomini tubdan takomillashtirish chora-tadbirlari toʻgʻrisida”gi PF-5241-sonli Farmoni, </w:t>
            </w:r>
            <w:r>
              <w:rPr>
                <w:vanish w:val="false"/>
              </w:rPr>
              <w:fldChar w:fldCharType="begin"/>
              <w:instrText xml:space="preserve">X {"Y":24}</w:instrText>
              <w:fldChar w:fldCharType="separate"/>
            </w:r>
            <w:r>
              <w:rPr>
                <w:vanish w:val="false"/>
              </w:rPr>
              <w:t xml:space="preserve">Ichimlik suvi uchun taʼrif belgilash to‘g‘risidagi qaror qabul qilingan sana</w:t>
              <w:fldChar w:fldCharType="end"/>
            </w:r>
            <w:r>
              <w:rPr>
                <w:vanish w:val="false"/>
              </w:rPr>
              <w:t xml:space="preserve"> dagi </w:t>
            </w:r>
            <w:r>
              <w:rPr>
                <w:vanish w:val="false"/>
              </w:rPr>
              <w:fldChar w:fldCharType="begin"/>
              <w:instrText xml:space="preserve">X {"Y":23}</w:instrText>
              <w:fldChar w:fldCharType="separate"/>
            </w:r>
            <w:r>
              <w:rPr>
                <w:vanish w:val="false"/>
              </w:rPr>
              <w:t xml:space="preserve">Ichimlik suvi uchun taʼrif belgilash to‘g‘risidagi qarorning raqami</w:t>
              <w:fldChar w:fldCharType="end"/>
            </w:r>
            <w:r>
              <w:rPr>
                <w:vanish w:val="false"/>
              </w:rPr>
              <w:t xml:space="preserve"> -sonli qarorga muvofiq tarifga 1 m3 uchun </w:t>
            </w:r>
            <w:r>
              <w:rPr>
                <w:vanish w:val="false"/>
              </w:rPr>
              <w:fldChar w:fldCharType="begin"/>
              <w:instrText xml:space="preserve">X {"Y":25}</w:instrText>
              <w:fldChar w:fldCharType="separate"/>
            </w:r>
            <w:r>
              <w:rPr>
                <w:vanish w:val="false"/>
              </w:rPr>
              <w:t xml:space="preserve">Suv taʼminoti xizmatlari tariflariga  isteʼmolchilar uchun belgilangan ustama xaq miqdori</w:t>
              <w:fldChar w:fldCharType="end"/>
            </w:r>
            <w:r>
              <w:rPr>
                <w:vanish w:val="false"/>
              </w:rPr>
              <w:t xml:space="preserve"> soʻm maxsus ustama haq joriy etilgan hamda “Taʼminotchi” tomonidan taqdim qilingan ichimlik ichimlik suv yetkazib berish uchun ruxsat etuvchi hujjatlarga rioya qilish majburiyatini oʻz zimmasiga oladilar.</w:t>
            </w:r>
          </w:p>
        </w:tc>
      </w:tr>
      <w:tr>
        <w:tc>
          <w:tcPr>
            <w:tcW w:w="9782" w:type="dxa"/>
            <w:gridSpan w:val="2"/>
            <w:shd w:fill="auto"/>
          </w:tcPr>
          <w:p>
            <w:pPr>
              <w:jc w:val="center"/>
              <w:spacing w:before="120" w:after="120" w:line="276" w:lineRule="auto"/>
              <w:rPr>
                <w:b/>
              </w:rPr>
            </w:pPr>
            <w:r>
              <w:rPr>
                <w:b/>
                <w:vanish w:val="false"/>
                <w:rFonts w:ascii="Times New Roman" w:hAnsi="Times New Roman"/>
              </w:rPr>
              <w:t xml:space="preserve">II. UMUMIY QOIDALAR</w:t>
            </w:r>
          </w:p>
          <w:p>
            <w:pPr>
              <w:jc w:val="both"/>
              <w:ind w:firstLine="549"/>
              <w:spacing w:line="276" w:lineRule="auto"/>
            </w:pPr>
            <w:r>
              <w:rPr>
                <w:vanish w:val="false"/>
              </w:rPr>
              <w:t xml:space="preserve">2.1. Ichimlik suv taʼminoti tizimlaridagi ichimlik suvi “Isteʼmolchi”larning xoʻjalik va maishiy ehtiyojlari, yongʻinlarni oʻchirish, shuningdek, ichimlik suvi talab etiladigan texnologik va ishlab chiqarish jarayonlari uchun moʻljallangan.</w:t>
            </w:r>
          </w:p>
          <w:p>
            <w:pPr>
              <w:jc w:val="both"/>
              <w:ind w:firstLine="549"/>
              <w:spacing w:line="276" w:lineRule="auto"/>
            </w:pPr>
            <w:r>
              <w:rPr>
                <w:vanish w:val="false"/>
              </w:rPr>
              <w:t xml:space="preserve">“Taʼminotchi”ning texnik imkoniyatlari mavjud boʻlgan holatlarda, ixtisoslashgan isteʼmolchilarga ichimlik suvi markaziy ichimlik suv taʼminoti tizimlaridagi suv tarqatish shoxabchalaridan maxalliy davlat xokimiyat idoralari tomonidan bir km.ga hisolangan narxda, belgilangan avtotransport vositada aniq muddatda va miqdorda yetkazib beriladi.</w:t>
            </w:r>
          </w:p>
          <w:p>
            <w:pPr>
              <w:jc w:val="both"/>
              <w:ind w:firstLine="549"/>
              <w:spacing w:line="276" w:lineRule="auto"/>
            </w:pPr>
            <w:r>
              <w:rPr>
                <w:vanish w:val="false"/>
              </w:rPr>
              <w:t xml:space="preserve">2.2. Suv xovuzlarini rekonstruksiyasi, “Isteʼmolchi” tomonidan faqat loyiha asosida amalga oshirilishi mumkin. “Isteʼmolchi” buyurtmasiga asosan, amaldagi meʼyor, qoidalar va boshqa meʼyoriy hujjatlar asosida loyihalashtirish tashkiloti tomonidan xovuz qurish loyihasi ishlab chiqiladi.</w:t>
            </w:r>
          </w:p>
          <w:p>
            <w:pPr>
              <w:jc w:val="both"/>
              <w:ind w:firstLine="549"/>
              <w:spacing w:line="276" w:lineRule="auto"/>
            </w:pPr>
            <w:r>
              <w:rPr>
                <w:vanish w:val="false"/>
              </w:rPr>
              <w:t xml:space="preserve">2.3. Agar suv taʼminoti uchun narxlarda oʻzgarish vujudga kelsa, toʻlov yangi tariflar asosida amalga oshiriladi.</w:t>
            </w:r>
          </w:p>
          <w:p>
            <w:pPr>
              <w:jc w:val="both"/>
              <w:ind w:firstLine="549"/>
              <w:spacing w:line="276" w:lineRule="auto"/>
              <w:rPr>
                <w:b/>
                <w:rFonts w:ascii="Times New Roman" w:hAnsi="Times New Roman"/>
              </w:rPr>
            </w:pPr>
            <w:r>
              <w:rPr>
                <w:vanish w:val="false"/>
              </w:rPr>
              <w:t xml:space="preserve">2.4. “Isteʼmolchi”dan limitdan ortiqcha suv taʼlab qilganda “Taʼminotchi” tomonidan belgilangan tariflarga nisbatan 10,0 orttiriluvchi koeffitsiyentni qoʻllash yoʻli bilan haq undiriladi.</w:t>
            </w:r>
          </w:p>
        </w:tc>
      </w:tr>
      <w:tr>
        <w:tc>
          <w:tcPr>
            <w:tcW w:w="9782" w:type="dxa"/>
            <w:gridSpan w:val="2"/>
            <w:shd w:fill="auto"/>
          </w:tcPr>
          <w:p>
            <w:pPr>
              <w:jc w:val="center"/>
              <w:spacing w:before="120" w:after="120" w:line="276" w:lineRule="auto"/>
              <w:rPr>
                <w:b/>
              </w:rPr>
            </w:pPr>
            <w:r>
              <w:rPr>
                <w:b/>
                <w:vanish w:val="false"/>
                <w:rFonts w:ascii="Times New Roman" w:hAnsi="Times New Roman"/>
              </w:rPr>
              <w:t xml:space="preserve">III. TARAFLARNING HUQUQ VA MAJBURIYATLARI</w:t>
            </w:r>
          </w:p>
          <w:p>
            <w:pPr>
              <w:ind w:firstLine="549"/>
              <w:spacing w:before="120" w:after="120" w:line="276" w:lineRule="auto"/>
              <w:rPr>
                <w:b/>
                <w:u w:val="single"/>
                <w:rFonts w:ascii="Times New Roman" w:hAnsi="Times New Roman"/>
              </w:rPr>
            </w:pPr>
            <w:r>
              <w:rPr>
                <w:b/>
                <w:vanish w:val="false"/>
                <w:rFonts w:ascii="Times New Roman" w:hAnsi="Times New Roman"/>
              </w:rPr>
              <w:tab/>
            </w:r>
            <w:r>
              <w:rPr>
                <w:b/>
                <w:u w:val="single"/>
                <w:vanish w:val="false"/>
                <w:rFonts w:ascii="Times New Roman" w:hAnsi="Times New Roman"/>
              </w:rPr>
              <w:t xml:space="preserve">3.1. Isteʼmolchining huquqlari:</w:t>
            </w:r>
          </w:p>
          <w:p>
            <w:pPr>
              <w:jc w:val="both"/>
              <w:ind w:firstLine="549"/>
              <w:spacing w:line="276" w:lineRule="auto"/>
            </w:pPr>
            <w:r>
              <w:rPr>
                <w:vanish w:val="false"/>
                <w:color w:val="000000"/>
                <w:rFonts w:ascii="Times New Roman" w:hAnsi="Times New Roman"/>
              </w:rPr>
              <w:t>a) “</w:t>
            </w:r>
            <w:r>
              <w:rPr>
                <w:vanish w:val="false"/>
              </w:rPr>
              <w:t xml:space="preserve">Taʼminotchi”dan u bilan tuzilgan shartnoma asosida, ichimlik suv markaziy ichimlik suv taʼminoti tizimlaridagi suv tarqatish shoxabchalaridan maxalliy davlat xokimiyat idoralari tomonidan bir km.ga hisoblangan narxda, belgilangan avtotransport vositada aniq muddat va miqdorda amalga oshirilishini, oʻz hayoti va sogʻligʻiga, mulkiga xavf tugʻdirmaydigan darajadagi sifatli ichimlik suv berilishini talab qilish;</w:t>
            </w:r>
          </w:p>
          <w:p>
            <w:pPr>
              <w:jc w:val="both"/>
              <w:ind w:firstLine="549"/>
              <w:spacing w:line="276" w:lineRule="auto"/>
              <w:rPr>
                <w:color w:val="000000"/>
                <w:rFonts w:ascii="Times New Roman" w:hAnsi="Times New Roman"/>
              </w:rPr>
            </w:pPr>
            <w:r>
              <w:rPr>
                <w:vanish w:val="false"/>
              </w:rPr>
              <w:t xml:space="preserve">b) tegishli sifat darajasidagi ichimlik suv talablarini bajarmaganligi uchun “Taʼminotchi”dan qonunchilikda va shartnoma shartlarida koʻrsatilgan miqdorda jarima (penya)lar toʻlashni talab qilish;</w:t>
            </w:r>
          </w:p>
          <w:p>
            <w:pPr>
              <w:jc w:val="both"/>
              <w:ind w:firstLine="549"/>
              <w:spacing w:line="276" w:lineRule="auto"/>
            </w:pPr>
            <w:r>
              <w:rPr>
                <w:vanish w:val="false"/>
                <w:color w:val="000000"/>
                <w:rFonts w:ascii="Times New Roman" w:hAnsi="Times New Roman"/>
              </w:rPr>
              <w:t>v) </w:t>
            </w:r>
            <w:r>
              <w:rPr>
                <w:vanish w:val="false"/>
              </w:rPr>
              <w:t xml:space="preserve">“Taʼminotchi”ni shartnomani bekor qilish toʻgʻrisida uning bekor qilinishidan kamida 15 kun oldin ogohlantirgan holda va ushbu muddatda suv taʼminoti boʻyicha koʻrsatilgan xizmatlar uchun toʻlovlarni toʻliq amalga oshirgan holda shartnomani bir tomonlama bekor qilish;</w:t>
            </w:r>
          </w:p>
          <w:p>
            <w:pPr>
              <w:jc w:val="both"/>
              <w:ind w:firstLine="549"/>
              <w:spacing w:line="276" w:lineRule="auto"/>
            </w:pPr>
            <w:r>
              <w:rPr>
                <w:vanish w:val="false"/>
                <w:color w:val="000000"/>
                <w:rFonts w:ascii="Times New Roman" w:hAnsi="Times New Roman"/>
              </w:rPr>
              <w:t>g) </w:t>
            </w:r>
            <w:r>
              <w:rPr>
                <w:vanish w:val="false"/>
              </w:rPr>
              <w:t xml:space="preserve">ichimlik suv taʼminoti uchun amalga oshirilgan toʻlovlarning holati, qarzlarning yoʻqligi haqidagi maʼlumotlar va maʼlumotnomani (shaxsan yoki oʻz vakili orqali) bepul olish;</w:t>
            </w:r>
          </w:p>
          <w:p>
            <w:pPr>
              <w:jc w:val="both"/>
              <w:ind w:firstLine="549"/>
              <w:spacing w:line="276" w:lineRule="auto"/>
              <w:rPr>
                <w:color w:val="000000"/>
                <w:rFonts w:ascii="Times New Roman" w:hAnsi="Times New Roman"/>
              </w:rPr>
            </w:pPr>
            <w:r>
              <w:rPr>
                <w:vanish w:val="false"/>
              </w:rPr>
              <w:t xml:space="preserve">d) “Taʼminotchi”dan ichimlik suv taʼminoti hajmi va sifati, ularni amalga oshirish shartlari, toʻlovlar tarifi va tartiblarining oʻzgarishi haqidagi maʼlumotlarni bepul olish;</w:t>
            </w:r>
          </w:p>
          <w:p>
            <w:pPr>
              <w:jc w:val="both"/>
              <w:ind w:firstLine="549"/>
              <w:spacing w:line="276" w:lineRule="auto"/>
            </w:pPr>
            <w:r>
              <w:rPr>
                <w:vanish w:val="false"/>
                <w:color w:val="000000"/>
                <w:rFonts w:ascii="Times New Roman" w:hAnsi="Times New Roman"/>
              </w:rPr>
              <w:t>ye) </w:t>
            </w:r>
            <w:r>
              <w:rPr>
                <w:vanish w:val="false"/>
              </w:rPr>
              <w:t xml:space="preserve">ichimlik suv taʼminoti koʻrsatilmayotganligi yoki ularning past sifatda ekanligi toʻgʻrisidagi dalolatnoma taqdim etilgandan keyin 18 soat mobaynida “Taʼminotchi”dan kamchiliklarni bartaraf etish chora-tadbirlari toʻgʻrisidagi maʼlumotlarni olish.</w:t>
            </w:r>
          </w:p>
          <w:p>
            <w:pPr>
              <w:ind w:firstLine="549"/>
              <w:spacing w:before="120" w:after="120" w:line="276" w:lineRule="auto"/>
              <w:rPr>
                <w:b/>
                <w:u w:val="single"/>
                <w:color w:val="000000"/>
                <w:rFonts w:ascii="Times New Roman" w:hAnsi="Times New Roman"/>
              </w:rPr>
            </w:pPr>
            <w:r>
              <w:rPr>
                <w:b/>
                <w:u w:val="single"/>
                <w:vanish w:val="false"/>
                <w:color w:val="000000"/>
                <w:rFonts w:ascii="Times New Roman" w:hAnsi="Times New Roman"/>
              </w:rPr>
              <w:t xml:space="preserve">3.2. Isteʼmolchining majburiyatlari:</w:t>
            </w:r>
          </w:p>
          <w:p>
            <w:pPr>
              <w:ind w:firstLine="549"/>
              <w:spacing w:line="276" w:lineRule="auto"/>
              <w:rPr>
                <w:color w:val="000000"/>
                <w:rFonts w:ascii="Times New Roman" w:hAnsi="Times New Roman"/>
              </w:rPr>
            </w:pPr>
            <w:r>
              <w:rPr>
                <w:vanish w:val="false"/>
                <w:color w:val="000000"/>
                <w:rFonts w:ascii="Times New Roman" w:hAnsi="Times New Roman"/>
              </w:rPr>
              <w:t xml:space="preserve">a) shartnoma shartlarini bajarish;</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b) oʻzining hududida joylashgan va ularga tegishli boʻlgan ichimlik suv xovuzi qurilmalarinig muvofiq ravishda qoʻriqlanishini, ularga suv toshishi yoki shikastlanishiga, muzlab qolishiga yoʻl qoʻymaslik, quduq qopqoqlarini qor va muzdan tozalash, quduqlardan yuza oqovasi mavjudligini taʼminlash, yongʻinga qarshi oʻtish yoʻllarini bekitmaslik, yongʻinga qarshi xovuzdan suvni qulay olinishini nazorat qilish;</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v) “Isteʼmolchi” hududida yoki uning tasarrufidagi suv xovuzi, qurilmalarining ustiga turli buyum va materiallarning yigʻilishiga hamda suv qurilmalarining ustidan inshootlar qurilmaslik; </w:t>
            </w:r>
          </w:p>
          <w:p>
            <w:pPr>
              <w:jc w:val="both"/>
              <w:ind w:firstLine="549"/>
              <w:spacing w:line="276" w:lineRule="auto"/>
            </w:pPr>
            <w:r>
              <w:rPr>
                <w:vanish w:val="false"/>
              </w:rPr>
              <w:t xml:space="preserve">g) “Taʼminotchi”ni oʻz vaqtida bank maʼlumotlari va yuridik manzilidagi oʻzgarishlar haqida xabardor qilish.</w:t>
            </w:r>
          </w:p>
          <w:p>
            <w:pPr>
              <w:ind w:firstLine="399"/>
              <w:spacing w:before="120" w:after="120" w:line="276" w:lineRule="auto"/>
              <w:rPr>
                <w:b/>
                <w:u w:val="single"/>
                <w:rFonts w:ascii="Times New Roman" w:hAnsi="Times New Roman"/>
              </w:rPr>
            </w:pPr>
            <w:r>
              <w:rPr>
                <w:b/>
                <w:i w:val="false"/>
                <w:u w:val="single"/>
                <w:vanish w:val="false"/>
                <w:rFonts w:ascii="Times New Roman" w:hAnsi="Times New Roman"/>
              </w:rPr>
              <w:t xml:space="preserve"> 3</w:t>
            </w:r>
            <w:r>
              <w:rPr>
                <w:b/>
                <w:u w:val="single"/>
                <w:vanish w:val="false"/>
                <w:rFonts w:ascii="Times New Roman" w:hAnsi="Times New Roman"/>
              </w:rPr>
              <w:t xml:space="preserve">.3. “Taʼminotchi”ning huquqlari:</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a) “Taʼminotchi” quyidagi hollarda, isteʼmolchini 5 kun avval xabardor qilgan holda, suv yetkazishni toʻliq yoki qisman toʻxtatish huquqiga ega;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b) “Isteʼmolchi” hududida joylashgan va uning tasarrufidagi suv tarkatish moslama va qurilmalarining texnik holati qoniqarsiz holatda boʻlsa va “Isteʼmolchi” texnik foydalanish qoidalarini buzish natijalarini “Taʼminotchi” vakillari talabiga koʻra bartaraf etmasa;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v) “Isteʼmolchi” oʻrnatilgan muddatlarda toʻlov hujjatlariga muvofiq toʻlovni amalga oshirmaganda;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g) “Isteʼmolchi” tomonidan ichimlik suv taʼminoti shartlariga rioya qilinmaganda;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d)  energiya taʼminoti toʻxtatilganda;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ye) tabiiy ofatlarda;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yo) avariyalarda;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j) yongʻin chiqqan yerlarga suv yetkazish hajmini oshirish zaruriyati tugʻilganda.</w:t>
            </w:r>
          </w:p>
          <w:p>
            <w:pPr>
              <w:jc w:val="both"/>
              <w:shd w:fill="ffffff"/>
              <w:ind w:firstLine="549"/>
              <w:spacing w:before="120" w:after="120" w:line="276" w:lineRule="auto"/>
              <w:rPr>
                <w:b/>
                <w:u w:val="single"/>
                <w:rFonts w:ascii="Times New Roman" w:hAnsi="Times New Roman"/>
              </w:rPr>
            </w:pPr>
            <w:r>
              <w:rPr>
                <w:b/>
                <w:u w:val="single"/>
                <w:vanish w:val="false"/>
                <w:rFonts w:ascii="Times New Roman" w:hAnsi="Times New Roman"/>
              </w:rPr>
              <w:t xml:space="preserve">3.4. “Taʼminotchi”ning majburiyatlari:</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a) suv yetkazish boʻyicha shartnoma shartlarini bajarish;</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b) suv yetkazilishini belgilangan muddatda taʼminlash; </w:t>
            </w:r>
          </w:p>
          <w:p>
            <w:pPr>
              <w:jc w:val="both"/>
              <w:ind w:firstLine="549"/>
              <w:spacing w:line="276" w:lineRule="auto"/>
            </w:pPr>
            <w:r>
              <w:rPr>
                <w:vanish w:val="false"/>
              </w:rPr>
              <w:t xml:space="preserve">v) “Isteʼmolchi”ga ushbu shartnomaning shartlarini bajarmagan hollarda, jarima penya toʻlovlarini amalga oshirish;</w:t>
            </w:r>
          </w:p>
          <w:p>
            <w:pPr>
              <w:jc w:val="both"/>
              <w:ind w:firstLine="549"/>
              <w:spacing w:line="276" w:lineRule="auto"/>
            </w:pPr>
            <w:r>
              <w:rPr>
                <w:vanish w:val="false"/>
              </w:rPr>
              <w:t xml:space="preserve">g) suv yetkazish uchun xizmat haqi toʻlovlarining tariflari oshganda, ular amalda joriy qilinishidan 15 kun avval ommaviy axborot vositalari yordamida isteʼmolchilarni xabardor qilish; </w:t>
            </w:r>
          </w:p>
          <w:p>
            <w:pPr>
              <w:jc w:val="both"/>
              <w:ind w:firstLine="549"/>
              <w:spacing w:line="276" w:lineRule="auto"/>
              <w:rPr>
                <w:b/>
                <w:rFonts w:ascii="Times New Roman" w:hAnsi="Times New Roman"/>
              </w:rPr>
            </w:pPr>
            <w:r>
              <w:rPr>
                <w:vanish w:val="false"/>
              </w:rPr>
              <w:t xml:space="preserve">d) ichimlik suv taʼminoti uchun amalga oshirilgan toʻlovlarning holati, qarzlarning yoʻqligi haqidagi maʼlumotlar va maʼlumotnomani “Isteʼmolchi”ga bepul berish.</w:t>
            </w:r>
          </w:p>
        </w:tc>
      </w:tr>
      <w:tr>
        <w:tc>
          <w:tcPr>
            <w:tcW w:w="9782" w:type="dxa"/>
            <w:gridSpan w:val="2"/>
            <w:shd w:fill="auto"/>
          </w:tcPr>
          <w:p>
            <w:pPr>
              <w:jc w:val="center"/>
              <w:spacing w:before="120" w:after="120" w:line="276" w:lineRule="auto"/>
              <w:rPr>
                <w:b/>
              </w:rPr>
            </w:pPr>
            <w:r>
              <w:rPr>
                <w:b/>
                <w:vanish w:val="false"/>
                <w:rFonts w:ascii="Times New Roman" w:hAnsi="Times New Roman"/>
              </w:rPr>
              <w:t xml:space="preserve">IV. TARAFLARNING JAVOBGARLIGI</w:t>
            </w:r>
          </w:p>
          <w:p>
            <w:pPr>
              <w:jc w:val="both"/>
              <w:ind w:firstLine="549"/>
              <w:spacing w:line="276" w:lineRule="auto"/>
              <w:rPr>
                <w:color w:val="000000"/>
                <w:rFonts w:ascii="Times New Roman" w:hAnsi="Times New Roman"/>
              </w:rPr>
            </w:pPr>
            <w:r>
              <w:rPr>
                <w:vanish w:val="false"/>
                <w:color w:val="000000"/>
                <w:rFonts w:ascii="Times New Roman" w:hAnsi="Times New Roman"/>
              </w:rPr>
              <w:t xml:space="preserve">4.1. “Taʼminotchi” ushbu shartnomaga muvofiq majburiyatlarni bajarmaslik yoki lozim darajada bajarilmagan hollarda kelib chiqqan zararni, “Isteʼmolchi” esa yetkazilgan haqiqiy zararning oʻrnini qoplashi shart.</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4.2. “Isteʼmolchi” quyidagilar uchun javobgardir:</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a) qonunchilikda oʻrnatilgan boshqa hollarda;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4.3. “Taʼminotchi” quyidagi hollarda javobgardir:</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 a) amaldagi meʼyoriy-huquqiy hujjatlarning talablariga muvofiq, yetkazilgan suvning sifati va qonunchilikda va shartnoma shartlarida koʻzda tutilgan boshqa hollarda;</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b)“Isteʼmolchi”ning hayoti, salomatligi va mol-mulkiga yetkazilgan zarar, maʼnaviy zarar uchun qonunchilikda oʻrnatilgan tartib va miqdorda qoplash; </w:t>
            </w:r>
          </w:p>
          <w:p>
            <w:pPr>
              <w:jc w:val="both"/>
              <w:shd w:fill="ffffff"/>
              <w:ind w:firstLine="549"/>
              <w:spacing w:line="276" w:lineRule="auto"/>
              <w:rPr>
                <w:color w:val="000000"/>
                <w:rFonts w:ascii="Times New Roman" w:hAnsi="Times New Roman"/>
              </w:rPr>
            </w:pPr>
            <w:r>
              <w:rPr>
                <w:vanish w:val="false"/>
                <w:color w:val="000000"/>
                <w:rFonts w:ascii="Times New Roman" w:hAnsi="Times New Roman"/>
              </w:rPr>
              <w:t xml:space="preserve">v) shartnoma shartlari va yuklatilgan majburiyatlarni bajarmaslik;</w:t>
            </w:r>
          </w:p>
          <w:p>
            <w:pPr>
              <w:jc w:val="both"/>
              <w:shd w:fill="ffffff"/>
              <w:ind w:firstLine="549"/>
              <w:spacing w:line="276" w:lineRule="auto"/>
              <w:rPr>
                <w:b/>
                <w:rFonts w:ascii="Times New Roman" w:hAnsi="Times New Roman"/>
              </w:rPr>
            </w:pPr>
            <w:r>
              <w:rPr>
                <w:vanish w:val="false"/>
              </w:rPr>
              <w:t>g) </w:t>
            </w:r>
            <w:r>
              <w:rPr>
                <w:vanish w:val="false"/>
                <w:color w:val="000000"/>
                <w:rFonts w:ascii="Times New Roman" w:hAnsi="Times New Roman"/>
              </w:rPr>
              <w:t xml:space="preserve">qonunchilikda oʻrnatilgan boshqa hollarda.</w:t>
            </w:r>
          </w:p>
        </w:tc>
      </w:tr>
      <w:tr>
        <w:tc>
          <w:tcPr>
            <w:tcW w:w="9782" w:type="dxa"/>
            <w:gridSpan w:val="2"/>
            <w:shd w:fill="auto"/>
          </w:tcPr>
          <w:p>
            <w:pPr>
              <w:jc w:val="center"/>
              <w:ind w:firstLine="549"/>
              <w:spacing w:before="120" w:after="120" w:line="276" w:lineRule="auto"/>
              <w:rPr>
                <w:b/>
                <w:rFonts w:ascii="Times New Roman" w:hAnsi="Times New Roman"/>
              </w:rPr>
            </w:pPr>
            <w:r>
              <w:rPr>
                <w:b/>
                <w:vanish w:val="false"/>
                <w:rFonts w:ascii="Times New Roman" w:hAnsi="Times New Roman"/>
              </w:rPr>
              <w:t xml:space="preserve">V. SUV TAʼMINOTI UCHUN HISOB-KITOB QILISH TARTIBI</w:t>
            </w:r>
          </w:p>
          <w:p>
            <w:pPr>
              <w:jc w:val="both"/>
              <w:ind w:firstLine="549"/>
              <w:spacing w:line="276" w:lineRule="auto"/>
              <w:rPr>
                <w:b/>
                <w:rFonts w:ascii="Times New Roman" w:hAnsi="Times New Roman"/>
              </w:rPr>
            </w:pPr>
            <w:r>
              <w:rPr>
                <w:vanish w:val="false"/>
              </w:rPr>
              <w:t xml:space="preserve">5.1. Ichimlik suv taʼminoti tizimidan yetkazilgan suvning hisobini hisoblash, amaldagi tariflar boʻyicha QQSni hisobga olgan holda amalga oshiriladi.</w:t>
            </w:r>
          </w:p>
        </w:tc>
      </w:tr>
      <w:tr>
        <w:tc>
          <w:tcPr>
            <w:tcW w:w="9782" w:type="dxa"/>
            <w:gridSpan w:val="2"/>
            <w:shd w:fill="auto"/>
          </w:tcPr>
          <w:p>
            <w:pPr>
              <w:jc w:val="center"/>
              <w:ind w:firstLine="549"/>
              <w:spacing w:before="120" w:after="120" w:line="276" w:lineRule="auto"/>
              <w:rPr>
                <w:b/>
                <w:rFonts w:ascii="Times New Roman" w:hAnsi="Times New Roman"/>
              </w:rPr>
            </w:pPr>
            <w:r>
              <w:rPr>
                <w:b/>
                <w:vanish w:val="false"/>
                <w:rFonts w:ascii="Times New Roman" w:hAnsi="Times New Roman"/>
              </w:rPr>
              <w:t xml:space="preserve">VI. ALOHIDA SHARTLAR</w:t>
            </w:r>
          </w:p>
          <w:p>
            <w:pPr>
              <w:jc w:val="both"/>
              <w:ind w:firstLine="549"/>
              <w:spacing w:line="276" w:lineRule="auto"/>
            </w:pPr>
            <w:r>
              <w:rPr>
                <w:vanish w:val="false"/>
              </w:rPr>
              <w:t xml:space="preserve">6.1. “Isteʼmolchi”ning suv yetkazish xoʻjaligidagi barcha oʻzgarishlar “Taʼminotchi” tomonidan “Isteʼmolchi”ning xati kelib tushgan kundan boshlab hisobga olinadi.</w:t>
            </w:r>
          </w:p>
          <w:p>
            <w:pPr>
              <w:pStyle w:val="ab"/>
              <w:jc w:val="both"/>
              <w:ind w:left="-15" w:firstLine="577"/>
              <w:spacing w:after="0" w:line="276" w:lineRule="auto"/>
            </w:pPr>
            <w:r>
              <w:rPr>
                <w:vanish w:val="false"/>
              </w:rPr>
              <w:t xml:space="preserve">6.2. Ishlatilgan ichimlik suvi uchun toʻlovlar “Taʼminotchi” tomonidan taqdim etiladigan toʻlov talabnomalari asosida ularga xizmat qiluvchi banklar orqali amalga oshiriladi. Bu toʻlovlar “Isteʼmolchi” tomonidan 3 kun muddat ichida, aksepsiz tartibda amalga oshiriladi. Toʻlovlar oʻz vaqtida amalga oshirilmagan taqdirda, “Taʼminotchi” kechiktirilgan toʻlovning har bir kun uchun 0,4% penya yozadi va uning umumiy qiymati asosiy toʻlovning 50%dan oshmasligi lozim. </w:t>
            </w:r>
          </w:p>
          <w:p>
            <w:pPr>
              <w:pStyle w:val="ab"/>
              <w:jc w:val="both"/>
              <w:ind w:left="-15" w:firstLine="562"/>
              <w:spacing w:after="0" w:line="276" w:lineRule="auto"/>
            </w:pPr>
            <w:r>
              <w:rPr>
                <w:vanish w:val="false"/>
              </w:rPr>
              <w:t xml:space="preserve">6.3. “Isteʼmolchi”ning hisob raqami boʻlmagan taqdirda, toʻlovlar bank boʻlimlarining kirim kassalari orqali, hisobot davridan keyingi 10 kun muddat ichida toʻlanadi.</w:t>
            </w:r>
          </w:p>
          <w:p>
            <w:pPr>
              <w:jc w:val="both"/>
              <w:ind w:firstLine="549"/>
              <w:spacing w:line="276" w:lineRule="auto"/>
              <w:rPr>
                <w:color w:val="000000"/>
                <w:rFonts w:ascii="Times New Roman" w:hAnsi="Times New Roman"/>
              </w:rPr>
            </w:pPr>
            <w:r>
              <w:rPr>
                <w:vanish w:val="false"/>
              </w:rPr>
              <w:t xml:space="preserve">6.4. “Taʼminotchi” toʻlovning har bir davri uchun, avvalgi oy toʻlovining 100% miqdorda oldindan toʻlovni belgilaydi va bu toʻlov keyingi oy hisobiga qoʻshiladi. Agarda “Isteʼmolchi” keyingi oy uchun har oyning 10-sanasiga qadar 100 foiz oldindan toʻlovlarni amalga oshirmasa, “Taʼminotchi” hech qanday ogohlantirishlarsiz ichimlik suvini yetkazib berishni qarzlarni undirmagunga qadar toʻxtatib qoʻyish huquqiga ega. Bunday hollarda yongʻindan saqlanish va sanitariya holatlari uchun javobgarlik toʻliq “Isteʼmolchi” zimmasiga yuklatiladi.</w:t>
            </w:r>
          </w:p>
          <w:p>
            <w:pPr>
              <w:jc w:val="both"/>
              <w:ind w:firstLine="549"/>
              <w:spacing w:line="276" w:lineRule="auto"/>
              <w:rPr>
                <w:b/>
                <w:rFonts w:ascii="Times New Roman" w:hAnsi="Times New Roman"/>
              </w:rPr>
            </w:pPr>
            <w:r>
              <w:rPr>
                <w:vanish w:val="false"/>
              </w:rPr>
              <w:t xml:space="preserve">6.5. Hisob-kitoblarning notoʻgʻri qilinganligi (tariflarning notoʻgʻri hisobga olinganligi va shu kabi holatlar) toʻgʻrisida “Isteʼmolchi” yoziladigan eʼtiroznoma toʻlov hujjati olingandan keyin 5 kun muddatda “Taʼminotchi”ga taqdim etilishi kerak. Eʼtiroznoma “Isteʼmolchi”ni toʻlov xujjatida koʻrsatilgan summani toʻliq va belgilangan muddatda toʻlashdan ozod qilmaydi.</w:t>
            </w:r>
          </w:p>
        </w:tc>
      </w:tr>
      <w:tr>
        <w:tc>
          <w:tcPr>
            <w:tcW w:w="9782" w:type="dxa"/>
            <w:gridSpan w:val="2"/>
            <w:shd w:fill="auto"/>
          </w:tcPr>
          <w:p>
            <w:pPr>
              <w:jc w:val="center"/>
              <w:spacing w:before="120" w:after="120" w:line="276" w:lineRule="auto"/>
              <w:rPr>
                <w:b/>
              </w:rPr>
            </w:pPr>
            <w:r>
              <w:rPr>
                <w:b/>
                <w:vanish w:val="false"/>
                <w:rFonts w:ascii="Times New Roman" w:hAnsi="Times New Roman"/>
              </w:rPr>
              <w:t xml:space="preserve">VII. NIZOLARNI HAL ETISH TARTIBI</w:t>
            </w:r>
          </w:p>
          <w:p>
            <w:pPr>
              <w:jc w:val="both"/>
              <w:ind w:firstLine="549"/>
              <w:spacing w:line="276" w:lineRule="auto"/>
            </w:pPr>
            <w:r>
              <w:rPr>
                <w:vanish w:val="false"/>
              </w:rPr>
              <w:t xml:space="preserve">7.1. Taraflar oʻrtasida shartnoma yuzasidan kelib chiqqan nizolar, kelishuv yoʻli bilan hal qilinadi. Agarda ikki tomonlama kelishuvga erishilmasa, nizolar Oʻzbekiston Respublikasi qonunchiligiga muvofiq sud tartibida koʻriladi va bartaraf etiladi.</w:t>
            </w:r>
          </w:p>
          <w:p>
            <w:pPr>
              <w:jc w:val="both"/>
              <w:ind w:firstLine="549"/>
              <w:spacing w:line="276" w:lineRule="auto"/>
              <w:rPr>
                <w:b/>
                <w:rFonts w:ascii="Times New Roman" w:hAnsi="Times New Roman"/>
              </w:rPr>
            </w:pPr>
            <w:r>
              <w:rPr>
                <w:vanish w:val="false"/>
              </w:rPr>
              <w:t xml:space="preserve">7.2. Ushbu shartnomada belgilanmagan holatlar yuzasidan nizo kelib chiqqan taqdirda, Qonunchilikda belgilangan tartibda hal qilinadi.</w:t>
            </w:r>
          </w:p>
        </w:tc>
      </w:tr>
      <w:tr>
        <w:tc>
          <w:tcPr>
            <w:tcW w:w="9782" w:type="dxa"/>
            <w:gridSpan w:val="2"/>
            <w:shd w:fill="auto"/>
          </w:tcPr>
          <w:p>
            <w:pPr>
              <w:jc w:val="center"/>
              <w:spacing w:before="120" w:after="120" w:line="276" w:lineRule="auto"/>
              <w:rPr>
                <w:b/>
              </w:rPr>
            </w:pPr>
            <w:r>
              <w:rPr>
                <w:b/>
                <w:vanish w:val="false"/>
                <w:rFonts w:ascii="Times New Roman" w:hAnsi="Times New Roman"/>
              </w:rPr>
              <w:t xml:space="preserve">VIII. FORS – MAJOR</w:t>
            </w:r>
          </w:p>
          <w:p>
            <w:pPr>
              <w:jc w:val="both"/>
              <w:ind w:firstLine="549"/>
              <w:spacing w:line="276" w:lineRule="auto"/>
            </w:pPr>
            <w:r>
              <w:rPr>
                <w:vanish w:val="false"/>
              </w:rPr>
              <w:t xml:space="preserve">8.1. Agar ushbu shartnoma boʻyicha majburiyatlar qisman yoki toʻliq bajarilmasligi tabiat hodisalari va boshqa yengib boʻlmaydigan kuch (fors-major) holatlari (zilzila, suv toshqini, yongʻin, sel, doʻl, jala va boshqa tabiiy ofatlar) natijasida kelib chiqsa va agar bu holatlar mazkur shartnomaning bajarilishiga bevosita tasir etsa, tomonlar bunday bajarmaslik uchun javobgarlikdan ozod etiladilar.</w:t>
            </w:r>
          </w:p>
          <w:p>
            <w:pPr>
              <w:jc w:val="both"/>
              <w:ind w:firstLine="549"/>
              <w:spacing w:line="276" w:lineRule="auto"/>
            </w:pPr>
            <w:r>
              <w:rPr>
                <w:vanish w:val="false"/>
              </w:rPr>
              <w:t xml:space="preserve">Mazkur shartnoma boʻyicha majburiyatlarni bajarish muddati yengib boʻlmaydigan kuch holatlari amal qilgan, shuningdek, ushbu holatlar yuzaga keltirgan vaqtga mutanosib ravishda uzaytiriladi.</w:t>
            </w:r>
          </w:p>
          <w:p>
            <w:pPr>
              <w:jc w:val="both"/>
              <w:ind w:firstLine="549"/>
              <w:spacing w:line="276" w:lineRule="auto"/>
            </w:pPr>
            <w:r>
              <w:rPr>
                <w:vanish w:val="false"/>
              </w:rPr>
              <w:t xml:space="preserve">8.2. Fors-major holati mavjud boʻlgan tomon 3 kun ichida boshqa tomonni fors-major holati boshlangan muddatlarni koʻrsatgan holda yozma ravishda ogohlantirishi lozim.</w:t>
            </w:r>
          </w:p>
          <w:p>
            <w:pPr>
              <w:jc w:val="both"/>
              <w:ind w:firstLine="549"/>
              <w:spacing w:line="276" w:lineRule="auto"/>
              <w:rPr>
                <w:b/>
                <w:rFonts w:ascii="Times New Roman" w:hAnsi="Times New Roman"/>
              </w:rPr>
            </w:pPr>
            <w:r>
              <w:rPr>
                <w:vanish w:val="false"/>
              </w:rPr>
              <w:t xml:space="preserve">8.3. Agar fors-major holatining shartnoma shartlarini bajarishga uch oydan koʻp muddat toʻsqinlik qilsa, tomonlardan biri shartnomani bekor qilish huquqiga ega.</w:t>
            </w:r>
          </w:p>
          <w:p>
            <w:pPr>
              <w:jc w:val="both"/>
              <w:ind w:firstLine="549"/>
              <w:spacing w:line="276" w:lineRule="auto"/>
              <w:rPr>
                <w:b/>
                <w:rFonts w:ascii="Times New Roman" w:hAnsi="Times New Roman"/>
              </w:rPr>
            </w:pPr>
            <w:r>
              <w:rPr>
                <w:vanish w:val="false"/>
              </w:rPr>
            </w:r>
          </w:p>
        </w:tc>
      </w:tr>
      <w:tr>
        <w:tc>
          <w:tcPr>
            <w:tcW w:w="9782" w:type="dxa"/>
            <w:gridSpan w:val="2"/>
            <w:shd w:fill="auto"/>
          </w:tcPr>
          <w:p>
            <w:pPr>
              <w:jc w:val="center"/>
              <w:ind w:firstLine="680"/>
              <w:spacing w:line="276" w:lineRule="auto"/>
              <w:rPr>
                <w:b/>
              </w:rPr>
            </w:pPr>
            <w:r>
              <w:rPr>
                <w:b/>
                <w:vanish w:val="false"/>
                <w:rFonts w:ascii="Times New Roman" w:hAnsi="Times New Roman"/>
              </w:rPr>
              <w:t xml:space="preserve">IX. SHARTNOMANING AMAL QILISH MUDDATI</w:t>
            </w:r>
          </w:p>
          <w:p>
            <w:pPr>
              <w:jc w:val="center"/>
              <w:ind w:firstLine="680"/>
              <w:spacing w:line="276" w:lineRule="auto"/>
              <w:rPr>
                <w:b/>
              </w:rPr>
            </w:pPr>
            <w:r>
              <w:rPr>
                <w:vanish w:val="false"/>
              </w:rPr>
            </w:r>
          </w:p>
          <w:p>
            <w:pPr>
              <w:jc w:val="both"/>
              <w:ind w:firstLine="549"/>
              <w:spacing w:line="276" w:lineRule="auto"/>
            </w:pPr>
            <w:r>
              <w:rPr>
                <w:vanish w:val="false"/>
              </w:rPr>
              <w:t xml:space="preserve">9.1. Mazkur shartnoma </w:t>
            </w:r>
            <w:r>
              <w:rPr>
                <w:vanish w:val="false"/>
              </w:rPr>
              <w:fldChar w:fldCharType="begin"/>
              <w:instrText xml:space="preserve">X {"Y":26}</w:instrText>
              <w:fldChar w:fldCharType="separate"/>
            </w:r>
            <w:r>
              <w:rPr>
                <w:vanish w:val="false"/>
              </w:rPr>
              <w:t xml:space="preserve">Shartnomaning amal qilish muddati boshlanadigan sana</w:t>
              <w:fldChar w:fldCharType="end"/>
            </w:r>
            <w:r>
              <w:rPr>
                <w:vanish w:val="false"/>
              </w:rPr>
              <w:t xml:space="preserve">dan </w:t>
            </w:r>
            <w:r>
              <w:rPr>
                <w:vanish w:val="false"/>
              </w:rPr>
              <w:fldChar w:fldCharType="begin"/>
              <w:instrText xml:space="preserve">X {"Y":27}</w:instrText>
              <w:fldChar w:fldCharType="separate"/>
            </w:r>
            <w:r>
              <w:rPr>
                <w:vanish w:val="false"/>
              </w:rPr>
              <w:t xml:space="preserve">Shartnomaning amal qilish muddati tugaydigan sana</w:t>
              <w:fldChar w:fldCharType="end"/>
            </w:r>
            <w:r>
              <w:rPr>
                <w:vanish w:val="false"/>
              </w:rPr>
              <w:t xml:space="preserve">gacha muddatga tuzildi.</w:t>
            </w:r>
          </w:p>
          <w:p>
            <w:pPr>
              <w:jc w:val="both"/>
              <w:ind w:firstLine="549"/>
              <w:spacing w:line="276" w:lineRule="auto"/>
              <w:rPr>
                <w:b/>
                <w:rFonts w:ascii="Times New Roman" w:hAnsi="Times New Roman"/>
              </w:rPr>
            </w:pPr>
            <w:r>
              <w:rPr>
                <w:vanish w:val="false"/>
              </w:rPr>
              <w:t xml:space="preserve">9.2 Ushbu shartnoma ikki nusxada tuzilgan boʻlib ikki tarafda bir nusxadan saqlanadi.</w:t>
            </w:r>
          </w:p>
        </w:tc>
      </w:tr>
      <w:tr>
        <w:tc>
          <w:tcPr>
            <w:tcW w:w="9782" w:type="dxa"/>
            <w:gridSpan w:val="2"/>
            <w:shd w:fill="auto"/>
          </w:tcPr>
          <w:p>
            <w:pPr>
              <w:jc w:val="center"/>
              <w:spacing w:line="276" w:lineRule="auto"/>
              <w:rPr>
                <w:b/>
              </w:rPr>
            </w:pPr>
            <w:r>
              <w:rPr>
                <w:b/>
                <w:vanish w:val="false"/>
                <w:rFonts w:ascii="Times New Roman" w:hAnsi="Times New Roman"/>
              </w:rPr>
              <w:t xml:space="preserve">X. TARAFLARNING YURIDIK MANZILI:</w:t>
            </w:r>
          </w:p>
          <w:p>
            <w:pPr>
              <w:jc w:val="center"/>
              <w:spacing w:line="276" w:lineRule="auto"/>
              <w:rPr>
                <w:b/>
              </w:rPr>
            </w:pPr>
            <w:r>
              <w:rPr>
                <w:vanish w:val="false"/>
              </w:rPr>
            </w:r>
          </w:p>
        </w:tc>
      </w:tr>
      <w:tr>
        <w:tc>
          <w:tcPr>
            <w:tcW w:w="4510" w:type="dxa"/>
            <w:shd w:fill="auto"/>
          </w:tcPr>
          <w:p>
            <w:pPr>
              <w:rPr>
                <w:b/>
                <w:i/>
                <w:color w:val="000000"/>
              </w:rPr>
            </w:pPr>
            <w:r>
              <w:rPr>
                <w:vanish w:val="false"/>
              </w:rPr>
              <w:fldChar w:fldCharType="begin"/>
              <w:instrText xml:space="preserve">X {"Y":6}</w:instrText>
              <w:fldChar w:fldCharType="separate"/>
            </w:r>
            <w:r>
              <w:rPr>
                <w:vanish w:val="false"/>
              </w:rPr>
              <w:t xml:space="preserve">“Taʼminotchi” tarafning nomi</w:t>
              <w:fldChar w:fldCharType="end"/>
            </w:r>
          </w:p>
        </w:tc>
        <w:tc>
          <w:tcPr>
            <w:tcW w:w="5272" w:type="dxa"/>
            <w:shd w:fill="auto"/>
          </w:tcPr>
          <w:p>
            <w:pPr>
              <w:rPr>
                <w:b/>
                <w:sz w:val="26"/>
              </w:rPr>
            </w:pPr>
            <w:r>
              <w:rPr>
                <w:vanish w:val="false"/>
              </w:rPr>
              <w:t xml:space="preserve">Manzil: </w:t>
            </w:r>
            <w:r>
              <w:rPr>
                <w:vanish w:val="false"/>
              </w:rPr>
              <w:fldChar w:fldCharType="begin"/>
              <w:instrText xml:space="preserve">X {"Y":15}</w:instrText>
              <w:fldChar w:fldCharType="separate"/>
            </w:r>
            <w:r>
              <w:rPr>
                <w:vanish w:val="false"/>
              </w:rPr>
              <w:t xml:space="preserve">Isteʼmolchining manzili</w:t>
              <w:fldChar w:fldCharType="end"/>
            </w:r>
          </w:p>
        </w:tc>
      </w:tr>
      <w:tr>
        <w:tc>
          <w:tcPr>
            <w:tcW w:w="4510" w:type="dxa"/>
            <w:shd w:fill="auto"/>
          </w:tcPr>
          <w:p>
            <w:r>
              <w:rPr>
                <w:vanish w:val="false"/>
              </w:rPr>
              <w:t xml:space="preserve">Manzil: </w:t>
            </w:r>
            <w:r>
              <w:rPr>
                <w:vanish w:val="false"/>
              </w:rPr>
              <w:fldChar w:fldCharType="begin"/>
              <w:instrText xml:space="preserve">X {"Y":8}</w:instrText>
              <w:fldChar w:fldCharType="separate"/>
            </w:r>
            <w:r>
              <w:rPr>
                <w:vanish w:val="false"/>
              </w:rPr>
              <w:t xml:space="preserve">“Taʼminotchi” tarafning manzili</w:t>
              <w:fldChar w:fldCharType="end"/>
            </w:r>
          </w:p>
        </w:tc>
        <w:tc>
          <w:tcPr>
            <w:tcW w:w="5272" w:type="dxa"/>
            <w:shd w:fill="auto"/>
          </w:tcPr>
          <w:p>
            <w:pPr>
              <w:rPr>
                <w:b/>
                <w:sz w:val="26"/>
              </w:rPr>
            </w:pPr>
            <w:r>
              <w:rPr>
                <w:vanish w:val="false"/>
              </w:rPr>
              <w:t xml:space="preserve">Pasport raqami: </w:t>
            </w:r>
            <w:r>
              <w:rPr>
                <w:vanish w:val="false"/>
              </w:rPr>
              <w:fldChar w:fldCharType="begin"/>
              <w:instrText xml:space="preserve">X {"Y":17}</w:instrText>
              <w:fldChar w:fldCharType="separate"/>
            </w:r>
            <w:r>
              <w:rPr>
                <w:vanish w:val="false"/>
              </w:rPr>
              <w:t xml:space="preserve">Isteʼmolchining pasport seriyasi va raqami</w:t>
              <w:fldChar w:fldCharType="end"/>
            </w:r>
          </w:p>
        </w:tc>
      </w:tr>
      <w:tr>
        <w:tc>
          <w:tcPr>
            <w:tcW w:w="4510" w:type="dxa"/>
            <w:shd w:fill="auto"/>
          </w:tcPr>
          <w:p>
            <w:pPr>
              <w:rPr>
                <w:b/>
                <w:i/>
              </w:rPr>
            </w:pPr>
            <w:r>
              <w:rPr>
                <w:vanish w:val="false"/>
              </w:rPr>
              <w:t xml:space="preserve">Bank: </w:t>
            </w:r>
            <w:r>
              <w:rPr>
                <w:vanish w:val="false"/>
              </w:rPr>
              <w:fldChar w:fldCharType="begin"/>
              <w:instrText xml:space="preserve">X {"Y":9}</w:instrText>
              <w:fldChar w:fldCharType="separate"/>
            </w:r>
            <w:r>
              <w:rPr>
                <w:vanish w:val="false"/>
              </w:rPr>
              <w:t xml:space="preserve">“Taʼminotchi” tarafning hisob raqami joylashgan bank nomi</w:t>
              <w:fldChar w:fldCharType="end"/>
            </w:r>
          </w:p>
        </w:tc>
        <w:tc>
          <w:tcPr>
            <w:tcW w:w="5272" w:type="dxa"/>
            <w:shd w:fill="auto"/>
          </w:tcPr>
          <w:p>
            <w:pPr>
              <w:rPr>
                <w:b/>
                <w:sz w:val="26"/>
              </w:rPr>
            </w:pPr>
            <w:r>
              <w:rPr>
                <w:vanish w:val="false"/>
              </w:rPr>
              <w:t xml:space="preserve">Tugʻilgan sanasi: </w:t>
            </w:r>
            <w:r>
              <w:rPr>
                <w:vanish w:val="false"/>
              </w:rPr>
              <w:fldChar w:fldCharType="begin"/>
              <w:instrText xml:space="preserve">X {"Y":16}</w:instrText>
              <w:fldChar w:fldCharType="separate"/>
            </w:r>
            <w:r>
              <w:rPr>
                <w:vanish w:val="false"/>
              </w:rPr>
              <w:t xml:space="preserve">Isteʼmolchining tug‘ilgan sanasi</w:t>
              <w:fldChar w:fldCharType="end"/>
            </w:r>
          </w:p>
        </w:tc>
      </w:tr>
      <w:tr>
        <w:tc>
          <w:tcPr>
            <w:tcW w:w="4510" w:type="dxa"/>
            <w:shd w:fill="auto"/>
          </w:tcPr>
          <w:p>
            <w:pPr>
              <w:pStyle w:val="aa"/>
              <w:ind w:left="0"/>
              <w:spacing w:line="288" w:lineRule="auto"/>
              <w:rPr>
                <w:b/>
                <w:rFonts w:ascii="Times New Roman" w:hAnsi="Times New Roman"/>
              </w:rPr>
            </w:pPr>
            <w:r>
              <w:rPr>
                <w:vanish w:val="false"/>
              </w:rPr>
              <w:t xml:space="preserve">H/R: </w:t>
            </w:r>
            <w:r>
              <w:rPr>
                <w:vanish w:val="false"/>
              </w:rPr>
              <w:fldChar w:fldCharType="begin"/>
              <w:instrText xml:space="preserve">X {"Y":10}</w:instrText>
              <w:fldChar w:fldCharType="separate"/>
            </w:r>
            <w:r>
              <w:rPr>
                <w:vanish w:val="false"/>
              </w:rPr>
              <w:t xml:space="preserve">“Taʼminotchi” tarafning hisob raqami</w:t>
              <w:fldChar w:fldCharType="end"/>
            </w:r>
          </w:p>
        </w:tc>
        <w:tc>
          <w:tcPr>
            <w:tcW w:w="5272" w:type="dxa"/>
            <w:shd w:fill="auto"/>
          </w:tcPr>
          <w:p>
            <w:pPr>
              <w:rPr>
                <w:b/>
                <w:sz w:val="26"/>
              </w:rPr>
            </w:pPr>
            <w:r>
              <w:rPr>
                <w:vanish w:val="false"/>
              </w:rPr>
              <w:t xml:space="preserve">Pasport qachon va kim tomonidan berilgan </w:t>
            </w:r>
            <w:r>
              <w:rPr>
                <w:vanish w:val="false"/>
              </w:rPr>
              <w:fldChar w:fldCharType="begin"/>
              <w:instrText xml:space="preserve">X {"Y":18}</w:instrText>
              <w:fldChar w:fldCharType="separate"/>
            </w:r>
            <w:r>
              <w:rPr>
                <w:vanish w:val="false"/>
              </w:rPr>
              <w:t xml:space="preserve">Isteʼmolchiga pasport qachon va kim tomonidan berilgan</w:t>
              <w:fldChar w:fldCharType="end"/>
            </w:r>
          </w:p>
        </w:tc>
      </w:tr>
      <w:tr>
        <w:tc>
          <w:tcPr>
            <w:tcW w:w="4510" w:type="dxa"/>
            <w:shd w:fill="auto"/>
          </w:tcPr>
          <w:p>
            <w:pPr>
              <w:rPr>
                <w:b/>
                <w:i/>
              </w:rPr>
            </w:pPr>
            <w:r>
              <w:rPr>
                <w:vanish w:val="false"/>
              </w:rPr>
              <w:t xml:space="preserve">STIR: </w:t>
            </w:r>
            <w:r>
              <w:rPr>
                <w:vanish w:val="false"/>
              </w:rPr>
              <w:fldChar w:fldCharType="begin"/>
              <w:instrText xml:space="preserve">X {"Y":11}</w:instrText>
              <w:fldChar w:fldCharType="separate"/>
            </w:r>
            <w:r>
              <w:rPr>
                <w:vanish w:val="false"/>
              </w:rPr>
              <w:t xml:space="preserve">“Taʼminotchi” tarafning STIR raqami</w:t>
              <w:fldChar w:fldCharType="end"/>
            </w:r>
            <w:r>
              <w:rPr>
                <w:vanish w:val="false"/>
              </w:rPr>
              <w:t xml:space="preserve"> </w:t>
            </w:r>
          </w:p>
        </w:tc>
        <w:tc>
          <w:tcPr>
            <w:tcW w:w="5272" w:type="dxa"/>
            <w:shd w:fill="auto"/>
          </w:tcPr>
          <w:p>
            <w:pPr>
              <w:rPr>
                <w:b/>
                <w:i/>
              </w:rPr>
            </w:pPr>
            <w:r>
              <w:rPr>
                <w:vanish w:val="false"/>
              </w:rPr>
              <w:t xml:space="preserve">Telefon:  </w:t>
            </w:r>
            <w:r>
              <w:rPr>
                <w:vanish w:val="false"/>
              </w:rPr>
              <w:fldChar w:fldCharType="begin"/>
              <w:instrText xml:space="preserve">X {"Y":19}</w:instrText>
              <w:fldChar w:fldCharType="separate"/>
            </w:r>
            <w:r>
              <w:rPr>
                <w:vanish w:val="false"/>
              </w:rPr>
              <w:t xml:space="preserve">Isteʼmolchining telefon raqami</w:t>
              <w:fldChar w:fldCharType="end"/>
            </w:r>
          </w:p>
        </w:tc>
      </w:tr>
      <w:tr>
        <w:tc>
          <w:tcPr>
            <w:tcW w:w="4510" w:type="dxa"/>
            <w:shd w:fill="auto"/>
          </w:tcPr>
          <w:p>
            <w:pPr>
              <w:rPr>
                <w:b/>
                <w:i/>
              </w:rPr>
            </w:pPr>
            <w:r>
              <w:rPr>
                <w:vanish w:val="false"/>
              </w:rPr>
              <w:t xml:space="preserve">Telefon: </w:t>
            </w:r>
            <w:r>
              <w:rPr>
                <w:vanish w:val="false"/>
              </w:rPr>
              <w:fldChar w:fldCharType="begin"/>
              <w:instrText xml:space="preserve">X {"Y":12}</w:instrText>
              <w:fldChar w:fldCharType="separate"/>
            </w:r>
            <w:r>
              <w:rPr>
                <w:vanish w:val="false"/>
              </w:rPr>
              <w:t xml:space="preserve">“Taʼminotchi” tarafning telefon raqami</w:t>
              <w:fldChar w:fldCharType="end"/>
            </w:r>
          </w:p>
        </w:tc>
        <w:tc>
          <w:tcPr>
            <w:tcW w:w="5272" w:type="dxa"/>
            <w:shd w:fill="auto"/>
          </w:tcPr>
          <w:p>
            <w:pPr>
              <w:rPr>
                <w:b/>
                <w:i/>
                <w:color w:val="000000"/>
              </w:rPr>
            </w:pPr>
            <w:r>
              <w:rPr>
                <w:vanish w:val="false"/>
              </w:rPr>
              <w:fldChar w:fldCharType="begin"/>
              <w:instrText xml:space="preserve">X {"Y":14}</w:instrText>
              <w:fldChar w:fldCharType="separate"/>
            </w:r>
            <w:r>
              <w:rPr>
                <w:vanish w:val="false"/>
              </w:rPr>
              <w:t xml:space="preserve">Isteʼmolchining F.I.Osi</w:t>
              <w:fldChar w:fldCharType="end"/>
            </w:r>
          </w:p>
        </w:tc>
      </w:tr>
      <w:tr>
        <w:tc>
          <w:tcPr>
            <w:tcW w:w="4510" w:type="dxa"/>
            <w:shd w:fill="auto"/>
          </w:tcPr>
          <w:p>
            <w:r>
              <w:rPr>
                <w:vanish w:val="false"/>
              </w:rPr>
              <w:fldChar w:fldCharType="begin"/>
              <w:instrText xml:space="preserve">X {"Y":7}</w:instrText>
              <w:fldChar w:fldCharType="separate"/>
            </w:r>
            <w:r>
              <w:rPr>
                <w:vanish w:val="false"/>
              </w:rPr>
              <w:t xml:space="preserve">“Taʼminotchi” taraf nomidan ish olib boruvchi shaxsning lavozimi va F.I.O.si</w:t>
              <w:fldChar w:fldCharType="end"/>
            </w:r>
          </w:p>
        </w:tc>
        <w:tc>
          <w:tcPr>
            <w:tcW w:w="5272" w:type="dxa"/>
            <w:shd w:fill="auto"/>
          </w:tcPr>
          <w:p>
            <w:pPr>
              <w:rPr>
                <w:b/>
                <w:sz w:val="26"/>
              </w:rPr>
            </w:pPr>
            <w:r>
              <w:rPr>
                <w:vanish w:val="false"/>
              </w:rPr>
            </w:r>
          </w:p>
        </w:tc>
      </w:tr>
      <w:tr>
        <w:tc>
          <w:tcPr>
            <w:tcW w:w="4510" w:type="dxa"/>
            <w:shd w:fill="auto"/>
          </w:tcPr>
          <w:p>
            <w:pPr>
              <w:jc w:val="center"/>
              <w:rPr>
                <w:b/>
              </w:rPr>
            </w:pPr>
            <w:r>
              <w:rPr>
                <w:vanish w:val="false"/>
              </w:rPr>
              <w:t>_________________</w:t>
            </w:r>
          </w:p>
          <w:p>
            <w:pPr>
              <w:jc w:val="center"/>
            </w:pPr>
            <w:r>
              <w:rPr>
                <w:vanish w:val="false"/>
              </w:rPr>
              <w:t>imzo</w:t>
            </w:r>
          </w:p>
        </w:tc>
        <w:tc>
          <w:tcPr>
            <w:tcW w:w="5272" w:type="dxa"/>
            <w:shd w:fill="auto"/>
          </w:tcPr>
          <w:p>
            <w:pPr>
              <w:jc w:val="center"/>
              <w:rPr>
                <w:b/>
              </w:rPr>
            </w:pPr>
            <w:r>
              <w:rPr>
                <w:vanish w:val="false"/>
              </w:rPr>
              <w:t>_________________</w:t>
            </w:r>
          </w:p>
          <w:p>
            <w:pPr>
              <w:jc w:val="center"/>
              <w:rPr>
                <w:b/>
              </w:rPr>
            </w:pPr>
            <w:r>
              <w:rPr>
                <w:vanish w:val="false"/>
              </w:rPr>
              <w:t>imzo</w:t>
            </w:r>
          </w:p>
        </w:tc>
      </w:tr>
      <w:tr>
        <w:tc>
          <w:tcPr>
            <w:tcW w:w="4510" w:type="dxa"/>
            <w:shd w:fill="auto"/>
          </w:tcPr>
          <w:p>
            <w:pPr>
              <w:jc w:val="both"/>
              <w:rPr>
                <w:b/>
              </w:rPr>
            </w:pPr>
            <w:r>
              <w:rPr>
                <w:vanish w:val="false"/>
              </w:rPr>
            </w:r>
          </w:p>
          <w:p>
            <w:pPr>
              <w:jc w:val="both"/>
            </w:pPr>
            <w:r>
              <w:rPr>
                <w:b/>
                <w:vanish w:val="false"/>
                <w:rFonts w:ascii="Times New Roman" w:hAnsi="Times New Roman"/>
              </w:rPr>
              <w:t xml:space="preserve">Yuriskonsult: </w:t>
            </w:r>
            <w:r>
              <w:rPr>
                <w:vanish w:val="false"/>
              </w:rPr>
              <w:t>____________________________(F.I.O)</w:t>
            </w:r>
          </w:p>
          <w:p>
            <w:pPr>
              <w:jc w:val="both"/>
            </w:pPr>
            <w:r>
              <w:rPr>
                <w:vanish w:val="false"/>
              </w:rPr>
              <w:tab/>
              <w:tab/>
              <w:tab/>
            </w:r>
            <w:r>
              <w:rPr>
                <w:i/>
                <w:vanish w:val="false"/>
                <w:rFonts w:ascii="Times New Roman" w:hAnsi="Times New Roman"/>
              </w:rPr>
              <w:t xml:space="preserve">   (imzo)</w:t>
            </w:r>
          </w:p>
          <w:p>
            <w:pPr>
              <w:jc w:val="center"/>
              <w:spacing w:before="120" w:after="120" w:line="276" w:lineRule="auto"/>
            </w:pPr>
            <w:r>
              <w:rPr>
                <w:vanish w:val="false"/>
              </w:rPr>
            </w:r>
          </w:p>
          <w:p>
            <w:pPr>
              <w:rPr>
                <w:color w:val="ff0000"/>
              </w:rPr>
            </w:pPr>
            <w:r>
              <w:rPr>
                <w:vanish w:val="false"/>
              </w:rPr>
            </w:r>
          </w:p>
        </w:tc>
        <w:tc>
          <w:tcPr>
            <w:tcW w:w="5272" w:type="dxa"/>
            <w:shd w:fill="auto"/>
          </w:tcPr>
          <w:p>
            <w:pPr>
              <w:jc w:val="right"/>
              <w:spacing w:line="276" w:lineRule="auto"/>
              <w:rPr>
                <w:b/>
              </w:rPr>
            </w:pPr>
            <w:r>
              <w:rPr>
                <w:vanish w:val="false"/>
              </w:rPr>
            </w:r>
          </w:p>
        </w:tc>
      </w:tr>
    </w:tbl>
    <w:p>
      <w:pPr>
        <w:jc w:val="center"/>
        <w:rPr>
          <w:b/>
          <w:sz w:val="26"/>
        </w:rPr>
      </w:pPr>
      <w:r>
        <w:rPr>
          <w:b/>
          <w:vanish w:val="false"/>
          <w:sz w:val="26"/>
          <w:rFonts w:ascii="Times New Roman" w:hAnsi="Times New Roman"/>
        </w:rPr>
      </w:r>
    </w:p>
    <w:p>
      <w:pPr>
        <w:jc w:val="both"/>
        <w:spacing w:before="120" w:after="120" w:line="276" w:lineRule="auto"/>
        <w:tabs>
          <w:tab w:val="left" w:pos="2855"/>
        </w:tabs>
      </w:pPr>
      <w:r>
        <w:rPr>
          <w:vanish w:val="false"/>
        </w:rPr>
        <w:tab/>
      </w:r>
    </w:p>
    <w:p>
      <w:pPr>
        <w:jc w:val="center"/>
        <w:spacing w:before="120" w:after="120" w:line="276" w:lineRule="auto"/>
      </w:pPr>
      <w:r>
        <w:rPr>
          <w:vanish w:val="false"/>
        </w:rPr>
      </w:r>
    </w:p>
    <w:sectPr>
      <w:pgSz w:w="11906" w:h="16838"/>
      <w:pgMar w:left="1701" w:right="851" w:top="705" w:bottom="851" w:header="142" w:footer="0"/>
      <w:footerReference r:id="rId8" w:type="defaul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F74" w:rsidRDefault="00AE1F74" w:rsidP="00744E6D">
      <w:r>
        <w:separator/>
      </w:r>
    </w:p>
  </w:endnote>
  <w:endnote w:type="continuationSeparator" w:id="0">
    <w:p w:rsidR="00AE1F74" w:rsidRDefault="00AE1F74" w:rsidP="0074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E6D" w:rsidRDefault="00744E6D">
    <w:pPr>
      <w:pStyle w:val="af"/>
      <w:jc w:val="right"/>
    </w:pPr>
  </w:p>
  <w:p w:rsidR="00744E6D" w:rsidRDefault="00744E6D">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F74" w:rsidRDefault="00AE1F74" w:rsidP="00744E6D">
      <w:r>
        <w:separator/>
      </w:r>
    </w:p>
  </w:footnote>
  <w:footnote w:type="continuationSeparator" w:id="0">
    <w:p w:rsidR="00AE1F74" w:rsidRDefault="00AE1F74" w:rsidP="00744E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F7119"/>
    <w:multiLevelType w:val="hybridMultilevel"/>
    <w:tmpl w:val="ACD64336"/>
    <w:lvl w:ilvl="0" w:tplc="E4042CAA">
      <w:start w:val="1"/>
      <w:numFmt w:val="decimal"/>
      <w:lvlText w:val="%1."/>
      <w:lvlJc w:val="left"/>
      <w:pPr>
        <w:ind w:left="644" w:hanging="360"/>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750176"/>
    <w:multiLevelType w:val="hybridMultilevel"/>
    <w:tmpl w:val="53ECD614"/>
    <w:lvl w:ilvl="0" w:tplc="1E9C9742">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37A6084E"/>
    <w:multiLevelType w:val="multilevel"/>
    <w:tmpl w:val="E7E6E1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7455"/>
    <w:rsid w:val="000010F5"/>
    <w:rsid w:val="00012203"/>
    <w:rsid w:val="00013370"/>
    <w:rsid w:val="000232E4"/>
    <w:rsid w:val="000308E5"/>
    <w:rsid w:val="00033B3E"/>
    <w:rsid w:val="000348BC"/>
    <w:rsid w:val="00036C8D"/>
    <w:rsid w:val="00037CF1"/>
    <w:rsid w:val="00037F87"/>
    <w:rsid w:val="00043D27"/>
    <w:rsid w:val="00047B09"/>
    <w:rsid w:val="000622E6"/>
    <w:rsid w:val="00067FB7"/>
    <w:rsid w:val="00073880"/>
    <w:rsid w:val="000739B9"/>
    <w:rsid w:val="00075231"/>
    <w:rsid w:val="00077B2C"/>
    <w:rsid w:val="00087D8B"/>
    <w:rsid w:val="0009741D"/>
    <w:rsid w:val="000A24A8"/>
    <w:rsid w:val="000A58AF"/>
    <w:rsid w:val="000A7156"/>
    <w:rsid w:val="000B3DB2"/>
    <w:rsid w:val="000B7942"/>
    <w:rsid w:val="000C3275"/>
    <w:rsid w:val="000C7455"/>
    <w:rsid w:val="000D196E"/>
    <w:rsid w:val="000D3713"/>
    <w:rsid w:val="000D4F88"/>
    <w:rsid w:val="000D5F85"/>
    <w:rsid w:val="000E3876"/>
    <w:rsid w:val="000E63D5"/>
    <w:rsid w:val="000F0340"/>
    <w:rsid w:val="000F352A"/>
    <w:rsid w:val="000F7B63"/>
    <w:rsid w:val="001047A7"/>
    <w:rsid w:val="0010685D"/>
    <w:rsid w:val="00113316"/>
    <w:rsid w:val="001202D6"/>
    <w:rsid w:val="001247FF"/>
    <w:rsid w:val="00126A5E"/>
    <w:rsid w:val="001320F8"/>
    <w:rsid w:val="00147F46"/>
    <w:rsid w:val="001537FB"/>
    <w:rsid w:val="001564AE"/>
    <w:rsid w:val="001570BF"/>
    <w:rsid w:val="001578B2"/>
    <w:rsid w:val="00160F5A"/>
    <w:rsid w:val="00161B98"/>
    <w:rsid w:val="00161E1C"/>
    <w:rsid w:val="00162D7E"/>
    <w:rsid w:val="001646B4"/>
    <w:rsid w:val="00185124"/>
    <w:rsid w:val="00186BFB"/>
    <w:rsid w:val="001A178F"/>
    <w:rsid w:val="001A5F93"/>
    <w:rsid w:val="001B5418"/>
    <w:rsid w:val="001C1D18"/>
    <w:rsid w:val="001C3F65"/>
    <w:rsid w:val="001C7D62"/>
    <w:rsid w:val="001D0DBE"/>
    <w:rsid w:val="001D645A"/>
    <w:rsid w:val="001E4D7B"/>
    <w:rsid w:val="001F4F4F"/>
    <w:rsid w:val="0020267E"/>
    <w:rsid w:val="00203CB3"/>
    <w:rsid w:val="00204597"/>
    <w:rsid w:val="00210434"/>
    <w:rsid w:val="00213CD9"/>
    <w:rsid w:val="002249B0"/>
    <w:rsid w:val="00226B03"/>
    <w:rsid w:val="00234652"/>
    <w:rsid w:val="00243A40"/>
    <w:rsid w:val="00261753"/>
    <w:rsid w:val="0026565C"/>
    <w:rsid w:val="0028600B"/>
    <w:rsid w:val="0029328E"/>
    <w:rsid w:val="002A0360"/>
    <w:rsid w:val="002A39B4"/>
    <w:rsid w:val="002B5651"/>
    <w:rsid w:val="002C4921"/>
    <w:rsid w:val="002C5431"/>
    <w:rsid w:val="002D45CE"/>
    <w:rsid w:val="002D5223"/>
    <w:rsid w:val="002D54FC"/>
    <w:rsid w:val="002D6FB3"/>
    <w:rsid w:val="002F2716"/>
    <w:rsid w:val="002F3390"/>
    <w:rsid w:val="002F4B2B"/>
    <w:rsid w:val="002F7549"/>
    <w:rsid w:val="002F763C"/>
    <w:rsid w:val="00301416"/>
    <w:rsid w:val="00302B67"/>
    <w:rsid w:val="00304FC2"/>
    <w:rsid w:val="003064DA"/>
    <w:rsid w:val="00322F42"/>
    <w:rsid w:val="003371AD"/>
    <w:rsid w:val="00345834"/>
    <w:rsid w:val="00352D55"/>
    <w:rsid w:val="003537B8"/>
    <w:rsid w:val="003537D0"/>
    <w:rsid w:val="00366B9D"/>
    <w:rsid w:val="0036788E"/>
    <w:rsid w:val="00367E9F"/>
    <w:rsid w:val="00371933"/>
    <w:rsid w:val="00373BE1"/>
    <w:rsid w:val="00375BD4"/>
    <w:rsid w:val="00375D19"/>
    <w:rsid w:val="003760F8"/>
    <w:rsid w:val="00377234"/>
    <w:rsid w:val="003772CC"/>
    <w:rsid w:val="0038143C"/>
    <w:rsid w:val="00381AE1"/>
    <w:rsid w:val="00383A3E"/>
    <w:rsid w:val="003A696E"/>
    <w:rsid w:val="003A77EA"/>
    <w:rsid w:val="003B3696"/>
    <w:rsid w:val="003B5FC9"/>
    <w:rsid w:val="003C215E"/>
    <w:rsid w:val="003C3EDF"/>
    <w:rsid w:val="003D2D38"/>
    <w:rsid w:val="003D341E"/>
    <w:rsid w:val="003E49FE"/>
    <w:rsid w:val="003F0E40"/>
    <w:rsid w:val="003F620E"/>
    <w:rsid w:val="004027C7"/>
    <w:rsid w:val="00403E35"/>
    <w:rsid w:val="0040594C"/>
    <w:rsid w:val="004072A3"/>
    <w:rsid w:val="00420395"/>
    <w:rsid w:val="0042414B"/>
    <w:rsid w:val="0042719C"/>
    <w:rsid w:val="00427AA6"/>
    <w:rsid w:val="00474E56"/>
    <w:rsid w:val="00475281"/>
    <w:rsid w:val="004A4E87"/>
    <w:rsid w:val="004B22DD"/>
    <w:rsid w:val="004B590A"/>
    <w:rsid w:val="004B693B"/>
    <w:rsid w:val="004C092E"/>
    <w:rsid w:val="004D2EFF"/>
    <w:rsid w:val="004E2A1A"/>
    <w:rsid w:val="004E4FD2"/>
    <w:rsid w:val="004E569B"/>
    <w:rsid w:val="0051336B"/>
    <w:rsid w:val="00513878"/>
    <w:rsid w:val="00521138"/>
    <w:rsid w:val="005224BC"/>
    <w:rsid w:val="0053221E"/>
    <w:rsid w:val="005326E9"/>
    <w:rsid w:val="00537D19"/>
    <w:rsid w:val="0054259D"/>
    <w:rsid w:val="00544CF9"/>
    <w:rsid w:val="00546BB7"/>
    <w:rsid w:val="00547E4F"/>
    <w:rsid w:val="005510A1"/>
    <w:rsid w:val="00551F8A"/>
    <w:rsid w:val="005546CE"/>
    <w:rsid w:val="00560669"/>
    <w:rsid w:val="00566204"/>
    <w:rsid w:val="0056627F"/>
    <w:rsid w:val="005700EB"/>
    <w:rsid w:val="00571FAF"/>
    <w:rsid w:val="00574AA8"/>
    <w:rsid w:val="00574BE6"/>
    <w:rsid w:val="0058008A"/>
    <w:rsid w:val="005812B2"/>
    <w:rsid w:val="00582C48"/>
    <w:rsid w:val="00584665"/>
    <w:rsid w:val="00585E70"/>
    <w:rsid w:val="00592BBA"/>
    <w:rsid w:val="005A4085"/>
    <w:rsid w:val="005A4402"/>
    <w:rsid w:val="005B5F69"/>
    <w:rsid w:val="005D505E"/>
    <w:rsid w:val="005D5445"/>
    <w:rsid w:val="005E1A5E"/>
    <w:rsid w:val="005E53DC"/>
    <w:rsid w:val="005E69A0"/>
    <w:rsid w:val="006041FD"/>
    <w:rsid w:val="00610188"/>
    <w:rsid w:val="0061443F"/>
    <w:rsid w:val="0061632B"/>
    <w:rsid w:val="0061744E"/>
    <w:rsid w:val="00627FEA"/>
    <w:rsid w:val="00635E20"/>
    <w:rsid w:val="006419E3"/>
    <w:rsid w:val="00641C59"/>
    <w:rsid w:val="00642974"/>
    <w:rsid w:val="00650F05"/>
    <w:rsid w:val="0066240B"/>
    <w:rsid w:val="00664334"/>
    <w:rsid w:val="00666186"/>
    <w:rsid w:val="0067133C"/>
    <w:rsid w:val="006744CA"/>
    <w:rsid w:val="00676702"/>
    <w:rsid w:val="00680822"/>
    <w:rsid w:val="00684A00"/>
    <w:rsid w:val="00691770"/>
    <w:rsid w:val="00692413"/>
    <w:rsid w:val="006A1382"/>
    <w:rsid w:val="006A7380"/>
    <w:rsid w:val="006C0844"/>
    <w:rsid w:val="006C286C"/>
    <w:rsid w:val="006C32C8"/>
    <w:rsid w:val="006C4AAA"/>
    <w:rsid w:val="006C7005"/>
    <w:rsid w:val="006E2BCB"/>
    <w:rsid w:val="006E5355"/>
    <w:rsid w:val="006F1059"/>
    <w:rsid w:val="006F3D16"/>
    <w:rsid w:val="00701914"/>
    <w:rsid w:val="007069B9"/>
    <w:rsid w:val="00706E5E"/>
    <w:rsid w:val="007117D5"/>
    <w:rsid w:val="007146D5"/>
    <w:rsid w:val="0073293E"/>
    <w:rsid w:val="00735689"/>
    <w:rsid w:val="00742E56"/>
    <w:rsid w:val="00744E6D"/>
    <w:rsid w:val="0074661F"/>
    <w:rsid w:val="00747BBE"/>
    <w:rsid w:val="00753273"/>
    <w:rsid w:val="00753A10"/>
    <w:rsid w:val="007550D8"/>
    <w:rsid w:val="0075590A"/>
    <w:rsid w:val="007865A9"/>
    <w:rsid w:val="00786673"/>
    <w:rsid w:val="007A4D5A"/>
    <w:rsid w:val="007C3D0E"/>
    <w:rsid w:val="007D4661"/>
    <w:rsid w:val="007F7620"/>
    <w:rsid w:val="0081057D"/>
    <w:rsid w:val="00817401"/>
    <w:rsid w:val="0082341A"/>
    <w:rsid w:val="00825520"/>
    <w:rsid w:val="00833491"/>
    <w:rsid w:val="0083543D"/>
    <w:rsid w:val="008355BD"/>
    <w:rsid w:val="0084227B"/>
    <w:rsid w:val="00856B9C"/>
    <w:rsid w:val="0087048D"/>
    <w:rsid w:val="008760B9"/>
    <w:rsid w:val="0087743B"/>
    <w:rsid w:val="00892F58"/>
    <w:rsid w:val="008971BF"/>
    <w:rsid w:val="008A076E"/>
    <w:rsid w:val="008B32A4"/>
    <w:rsid w:val="008C47C4"/>
    <w:rsid w:val="008C5CAC"/>
    <w:rsid w:val="008C5E37"/>
    <w:rsid w:val="008C635A"/>
    <w:rsid w:val="008C7134"/>
    <w:rsid w:val="008D2C2E"/>
    <w:rsid w:val="008D4201"/>
    <w:rsid w:val="008D4F35"/>
    <w:rsid w:val="008D72E6"/>
    <w:rsid w:val="008E59A5"/>
    <w:rsid w:val="008F1FEF"/>
    <w:rsid w:val="008F204B"/>
    <w:rsid w:val="00902987"/>
    <w:rsid w:val="0090336F"/>
    <w:rsid w:val="00905B64"/>
    <w:rsid w:val="00906A54"/>
    <w:rsid w:val="00906BA7"/>
    <w:rsid w:val="009163DC"/>
    <w:rsid w:val="00922CB4"/>
    <w:rsid w:val="00925203"/>
    <w:rsid w:val="0094479B"/>
    <w:rsid w:val="009472EB"/>
    <w:rsid w:val="00954E6E"/>
    <w:rsid w:val="00970B0B"/>
    <w:rsid w:val="00973A06"/>
    <w:rsid w:val="00974A26"/>
    <w:rsid w:val="009757D9"/>
    <w:rsid w:val="00976501"/>
    <w:rsid w:val="0098112E"/>
    <w:rsid w:val="00983C6F"/>
    <w:rsid w:val="00984897"/>
    <w:rsid w:val="00991AB8"/>
    <w:rsid w:val="009A563A"/>
    <w:rsid w:val="009B2DA3"/>
    <w:rsid w:val="009B43A5"/>
    <w:rsid w:val="009B4E4F"/>
    <w:rsid w:val="009D28AC"/>
    <w:rsid w:val="009D35D3"/>
    <w:rsid w:val="009E57EC"/>
    <w:rsid w:val="009E6811"/>
    <w:rsid w:val="009F43B0"/>
    <w:rsid w:val="009F5849"/>
    <w:rsid w:val="009F5C3D"/>
    <w:rsid w:val="009F6DEC"/>
    <w:rsid w:val="009F7DBC"/>
    <w:rsid w:val="00A205D9"/>
    <w:rsid w:val="00A34D8F"/>
    <w:rsid w:val="00A4107F"/>
    <w:rsid w:val="00A52353"/>
    <w:rsid w:val="00A53581"/>
    <w:rsid w:val="00A56025"/>
    <w:rsid w:val="00A57916"/>
    <w:rsid w:val="00A71E61"/>
    <w:rsid w:val="00A84824"/>
    <w:rsid w:val="00A91D34"/>
    <w:rsid w:val="00AA0129"/>
    <w:rsid w:val="00AA3154"/>
    <w:rsid w:val="00AB1628"/>
    <w:rsid w:val="00AB369A"/>
    <w:rsid w:val="00AB721C"/>
    <w:rsid w:val="00AC1AB0"/>
    <w:rsid w:val="00AD01EC"/>
    <w:rsid w:val="00AD11BF"/>
    <w:rsid w:val="00AD1ACB"/>
    <w:rsid w:val="00AD1CF8"/>
    <w:rsid w:val="00AD3759"/>
    <w:rsid w:val="00AE1F74"/>
    <w:rsid w:val="00AE5D4C"/>
    <w:rsid w:val="00AF188D"/>
    <w:rsid w:val="00AF4831"/>
    <w:rsid w:val="00B00928"/>
    <w:rsid w:val="00B04DD3"/>
    <w:rsid w:val="00B11EF7"/>
    <w:rsid w:val="00B13537"/>
    <w:rsid w:val="00B22244"/>
    <w:rsid w:val="00B230D7"/>
    <w:rsid w:val="00B2530D"/>
    <w:rsid w:val="00B4091F"/>
    <w:rsid w:val="00B473CB"/>
    <w:rsid w:val="00B573F4"/>
    <w:rsid w:val="00B63B3A"/>
    <w:rsid w:val="00B65D2D"/>
    <w:rsid w:val="00B75949"/>
    <w:rsid w:val="00B85746"/>
    <w:rsid w:val="00B91642"/>
    <w:rsid w:val="00BA3643"/>
    <w:rsid w:val="00BA7FEE"/>
    <w:rsid w:val="00BB63BE"/>
    <w:rsid w:val="00BC4763"/>
    <w:rsid w:val="00BD0262"/>
    <w:rsid w:val="00BD648E"/>
    <w:rsid w:val="00BE7DEB"/>
    <w:rsid w:val="00C009DA"/>
    <w:rsid w:val="00C02EB1"/>
    <w:rsid w:val="00C04E00"/>
    <w:rsid w:val="00C053F5"/>
    <w:rsid w:val="00C12387"/>
    <w:rsid w:val="00C126BA"/>
    <w:rsid w:val="00C31AB2"/>
    <w:rsid w:val="00C3554E"/>
    <w:rsid w:val="00C40DC1"/>
    <w:rsid w:val="00C432E5"/>
    <w:rsid w:val="00C65D42"/>
    <w:rsid w:val="00C865F8"/>
    <w:rsid w:val="00C87809"/>
    <w:rsid w:val="00CA75B2"/>
    <w:rsid w:val="00CB194C"/>
    <w:rsid w:val="00CD1F18"/>
    <w:rsid w:val="00CD4D8E"/>
    <w:rsid w:val="00CE08D6"/>
    <w:rsid w:val="00CE1FD7"/>
    <w:rsid w:val="00CE4C1B"/>
    <w:rsid w:val="00CE556A"/>
    <w:rsid w:val="00CF488B"/>
    <w:rsid w:val="00CF531D"/>
    <w:rsid w:val="00CF6378"/>
    <w:rsid w:val="00D0365F"/>
    <w:rsid w:val="00D052D4"/>
    <w:rsid w:val="00D35430"/>
    <w:rsid w:val="00D37DB6"/>
    <w:rsid w:val="00D4043A"/>
    <w:rsid w:val="00D41423"/>
    <w:rsid w:val="00D459E3"/>
    <w:rsid w:val="00D47037"/>
    <w:rsid w:val="00D523E8"/>
    <w:rsid w:val="00D53B3F"/>
    <w:rsid w:val="00D56FFE"/>
    <w:rsid w:val="00D671EF"/>
    <w:rsid w:val="00D714B4"/>
    <w:rsid w:val="00D750CC"/>
    <w:rsid w:val="00D84D58"/>
    <w:rsid w:val="00D90D83"/>
    <w:rsid w:val="00D91F11"/>
    <w:rsid w:val="00D951D3"/>
    <w:rsid w:val="00D97CDA"/>
    <w:rsid w:val="00DA3E69"/>
    <w:rsid w:val="00DA7D3E"/>
    <w:rsid w:val="00DB1706"/>
    <w:rsid w:val="00DB1BD3"/>
    <w:rsid w:val="00DB2518"/>
    <w:rsid w:val="00DB2C95"/>
    <w:rsid w:val="00DB7EED"/>
    <w:rsid w:val="00DC4C5B"/>
    <w:rsid w:val="00DC70DA"/>
    <w:rsid w:val="00DD0AF1"/>
    <w:rsid w:val="00DD4088"/>
    <w:rsid w:val="00DD4D3C"/>
    <w:rsid w:val="00DD79E0"/>
    <w:rsid w:val="00DF4F6A"/>
    <w:rsid w:val="00DF5310"/>
    <w:rsid w:val="00DF6EC0"/>
    <w:rsid w:val="00DF774C"/>
    <w:rsid w:val="00E02DD0"/>
    <w:rsid w:val="00E049CF"/>
    <w:rsid w:val="00E13BA7"/>
    <w:rsid w:val="00E14E23"/>
    <w:rsid w:val="00E200E8"/>
    <w:rsid w:val="00E35840"/>
    <w:rsid w:val="00E35C3E"/>
    <w:rsid w:val="00E4293E"/>
    <w:rsid w:val="00E5271E"/>
    <w:rsid w:val="00E6394F"/>
    <w:rsid w:val="00E66315"/>
    <w:rsid w:val="00E66658"/>
    <w:rsid w:val="00E676B1"/>
    <w:rsid w:val="00E75D47"/>
    <w:rsid w:val="00E81CBC"/>
    <w:rsid w:val="00E8563A"/>
    <w:rsid w:val="00E93B34"/>
    <w:rsid w:val="00E93CAD"/>
    <w:rsid w:val="00E960F1"/>
    <w:rsid w:val="00E97A9F"/>
    <w:rsid w:val="00EB4960"/>
    <w:rsid w:val="00EC2ADC"/>
    <w:rsid w:val="00EC7FE7"/>
    <w:rsid w:val="00ED0274"/>
    <w:rsid w:val="00ED6CCC"/>
    <w:rsid w:val="00EE69D4"/>
    <w:rsid w:val="00EF00E5"/>
    <w:rsid w:val="00EF0601"/>
    <w:rsid w:val="00F06814"/>
    <w:rsid w:val="00F068E3"/>
    <w:rsid w:val="00F06E81"/>
    <w:rsid w:val="00F10B84"/>
    <w:rsid w:val="00F112DD"/>
    <w:rsid w:val="00F2712C"/>
    <w:rsid w:val="00F333F4"/>
    <w:rsid w:val="00F41A80"/>
    <w:rsid w:val="00F435EB"/>
    <w:rsid w:val="00F46471"/>
    <w:rsid w:val="00F63CCF"/>
    <w:rsid w:val="00F6401D"/>
    <w:rsid w:val="00F6767D"/>
    <w:rsid w:val="00F72673"/>
    <w:rsid w:val="00F745EA"/>
    <w:rsid w:val="00F85841"/>
    <w:rsid w:val="00F964D2"/>
    <w:rsid w:val="00F972B5"/>
    <w:rsid w:val="00FA6AE8"/>
    <w:rsid w:val="00FA6E5E"/>
    <w:rsid w:val="00FB1D26"/>
    <w:rsid w:val="00FB4412"/>
    <w:rsid w:val="00FB523D"/>
    <w:rsid w:val="00FB76CE"/>
    <w:rsid w:val="00FC17F0"/>
    <w:rsid w:val="00FD225A"/>
    <w:rsid w:val="00FE1AA1"/>
    <w:rsid w:val="00FF2222"/>
    <w:rsid w:val="00FF5B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241844"/>
  <w15:chartTrackingRefBased/>
  <w15:docId w15:val="{FB696D0D-91AE-456F-8958-BC7BEB5F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455"/>
    <w:rPr>
      <w:rFonts w:ascii="Times New Roman" w:hAnsi="Times New Roman"/>
      <w:sz w:val="24"/>
      <w:szCs w:val="24"/>
    </w:rPr>
  </w:style>
  <w:style w:type="paragraph" w:styleId="1">
    <w:name w:val="heading 1"/>
    <w:basedOn w:val="a"/>
    <w:next w:val="a"/>
    <w:link w:val="10"/>
    <w:uiPriority w:val="99"/>
    <w:qFormat/>
    <w:rsid w:val="000C7455"/>
    <w:pPr>
      <w:keepNext/>
      <w:jc w:val="center"/>
      <w:outlineLvl w:val="0"/>
    </w:pPr>
    <w:rPr>
      <w:b/>
      <w:bCs/>
      <w:lang w:val="x-none"/>
    </w:rPr>
  </w:style>
  <w:style w:type="paragraph" w:styleId="2">
    <w:name w:val="heading 2"/>
    <w:basedOn w:val="a"/>
    <w:next w:val="a"/>
    <w:link w:val="20"/>
    <w:uiPriority w:val="99"/>
    <w:qFormat/>
    <w:rsid w:val="000C7455"/>
    <w:pPr>
      <w:keepNext/>
      <w:spacing w:before="240" w:after="60"/>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C7455"/>
    <w:rPr>
      <w:rFonts w:ascii="Times New Roman" w:hAnsi="Times New Roman" w:cs="Times New Roman"/>
      <w:b/>
      <w:bCs/>
      <w:sz w:val="24"/>
      <w:szCs w:val="24"/>
      <w:lang w:eastAsia="ru-RU"/>
    </w:rPr>
  </w:style>
  <w:style w:type="character" w:customStyle="1" w:styleId="20">
    <w:name w:val="Заголовок 2 Знак"/>
    <w:link w:val="2"/>
    <w:uiPriority w:val="99"/>
    <w:locked/>
    <w:rsid w:val="000C7455"/>
    <w:rPr>
      <w:rFonts w:ascii="Arial" w:hAnsi="Arial" w:cs="Arial"/>
      <w:b/>
      <w:bCs/>
      <w:i/>
      <w:iCs/>
      <w:sz w:val="28"/>
      <w:szCs w:val="28"/>
    </w:rPr>
  </w:style>
  <w:style w:type="paragraph" w:styleId="a3">
    <w:name w:val="Body Text"/>
    <w:basedOn w:val="a"/>
    <w:link w:val="a4"/>
    <w:uiPriority w:val="99"/>
    <w:rsid w:val="000C7455"/>
    <w:pPr>
      <w:jc w:val="both"/>
    </w:pPr>
    <w:rPr>
      <w:lang w:val="x-none"/>
    </w:rPr>
  </w:style>
  <w:style w:type="character" w:customStyle="1" w:styleId="a4">
    <w:name w:val="Основной текст Знак"/>
    <w:link w:val="a3"/>
    <w:uiPriority w:val="99"/>
    <w:locked/>
    <w:rsid w:val="000C7455"/>
    <w:rPr>
      <w:rFonts w:ascii="Times New Roman" w:hAnsi="Times New Roman" w:cs="Times New Roman"/>
      <w:sz w:val="24"/>
      <w:szCs w:val="24"/>
      <w:lang w:eastAsia="ru-RU"/>
    </w:rPr>
  </w:style>
  <w:style w:type="paragraph" w:customStyle="1" w:styleId="11">
    <w:name w:val="Без интервала1"/>
    <w:uiPriority w:val="99"/>
    <w:rsid w:val="000C7455"/>
    <w:rPr>
      <w:rFonts w:ascii="Times New Roman" w:hAnsi="Times New Roman"/>
      <w:sz w:val="24"/>
      <w:szCs w:val="24"/>
    </w:rPr>
  </w:style>
  <w:style w:type="paragraph" w:styleId="a5">
    <w:name w:val="Plain Text"/>
    <w:basedOn w:val="a"/>
    <w:link w:val="a6"/>
    <w:rsid w:val="00560669"/>
    <w:rPr>
      <w:rFonts w:ascii="Courier New" w:hAnsi="Courier New"/>
      <w:sz w:val="20"/>
      <w:szCs w:val="20"/>
      <w:lang w:val="x-none" w:eastAsia="x-none"/>
    </w:rPr>
  </w:style>
  <w:style w:type="character" w:customStyle="1" w:styleId="a6">
    <w:name w:val="Текст Знак"/>
    <w:link w:val="a5"/>
    <w:locked/>
    <w:rsid w:val="00560669"/>
    <w:rPr>
      <w:rFonts w:ascii="Courier New" w:hAnsi="Courier New" w:cs="Courier New"/>
    </w:rPr>
  </w:style>
  <w:style w:type="paragraph" w:styleId="a7">
    <w:name w:val="Balloon Text"/>
    <w:basedOn w:val="a"/>
    <w:link w:val="a8"/>
    <w:uiPriority w:val="99"/>
    <w:semiHidden/>
    <w:rsid w:val="001C1D18"/>
    <w:rPr>
      <w:rFonts w:ascii="Tahoma" w:hAnsi="Tahoma"/>
      <w:sz w:val="16"/>
      <w:szCs w:val="16"/>
      <w:lang w:val="x-none" w:eastAsia="x-none"/>
    </w:rPr>
  </w:style>
  <w:style w:type="character" w:customStyle="1" w:styleId="a8">
    <w:name w:val="Текст выноски Знак"/>
    <w:link w:val="a7"/>
    <w:uiPriority w:val="99"/>
    <w:locked/>
    <w:rsid w:val="001C1D18"/>
    <w:rPr>
      <w:rFonts w:ascii="Tahoma" w:hAnsi="Tahoma" w:cs="Tahoma"/>
      <w:sz w:val="16"/>
      <w:szCs w:val="16"/>
    </w:rPr>
  </w:style>
  <w:style w:type="paragraph" w:styleId="a9">
    <w:name w:val="Normal (Web)"/>
    <w:basedOn w:val="a"/>
    <w:uiPriority w:val="99"/>
    <w:rsid w:val="00BD648E"/>
    <w:pPr>
      <w:spacing w:before="100" w:beforeAutospacing="1" w:after="100" w:afterAutospacing="1"/>
    </w:pPr>
    <w:rPr>
      <w:rFonts w:eastAsia="MS Mincho"/>
    </w:rPr>
  </w:style>
  <w:style w:type="paragraph" w:styleId="aa">
    <w:name w:val="List Paragraph"/>
    <w:basedOn w:val="a"/>
    <w:uiPriority w:val="34"/>
    <w:qFormat/>
    <w:rsid w:val="008B32A4"/>
    <w:pPr>
      <w:ind w:left="720"/>
    </w:pPr>
  </w:style>
  <w:style w:type="paragraph" w:styleId="ab">
    <w:name w:val="Body Text Indent"/>
    <w:basedOn w:val="a"/>
    <w:link w:val="ac"/>
    <w:uiPriority w:val="99"/>
    <w:rsid w:val="006F1059"/>
    <w:pPr>
      <w:spacing w:after="120"/>
      <w:ind w:left="283"/>
    </w:pPr>
    <w:rPr>
      <w:lang w:val="x-none" w:eastAsia="x-none"/>
    </w:rPr>
  </w:style>
  <w:style w:type="character" w:customStyle="1" w:styleId="ac">
    <w:name w:val="Основной текст с отступом Знак"/>
    <w:link w:val="ab"/>
    <w:uiPriority w:val="99"/>
    <w:locked/>
    <w:rsid w:val="006F1059"/>
    <w:rPr>
      <w:rFonts w:ascii="Times New Roman" w:hAnsi="Times New Roman" w:cs="Times New Roman"/>
      <w:sz w:val="24"/>
      <w:szCs w:val="24"/>
    </w:rPr>
  </w:style>
  <w:style w:type="paragraph" w:customStyle="1" w:styleId="21">
    <w:name w:val="Без интервала2"/>
    <w:uiPriority w:val="99"/>
    <w:rsid w:val="00301416"/>
    <w:rPr>
      <w:rFonts w:eastAsia="Times New Roman" w:cs="Calibri"/>
      <w:sz w:val="22"/>
      <w:szCs w:val="22"/>
      <w:lang w:eastAsia="en-US"/>
    </w:rPr>
  </w:style>
  <w:style w:type="paragraph" w:styleId="ad">
    <w:name w:val="header"/>
    <w:basedOn w:val="a"/>
    <w:link w:val="ae"/>
    <w:uiPriority w:val="99"/>
    <w:unhideWhenUsed/>
    <w:locked/>
    <w:rsid w:val="00744E6D"/>
    <w:pPr>
      <w:tabs>
        <w:tab w:val="center" w:pos="4677"/>
        <w:tab w:val="right" w:pos="9355"/>
      </w:tabs>
    </w:pPr>
    <w:rPr>
      <w:lang w:val="x-none" w:eastAsia="x-none"/>
    </w:rPr>
  </w:style>
  <w:style w:type="character" w:customStyle="1" w:styleId="ae">
    <w:name w:val="Верхний колонтитул Знак"/>
    <w:link w:val="ad"/>
    <w:uiPriority w:val="99"/>
    <w:rsid w:val="00744E6D"/>
    <w:rPr>
      <w:rFonts w:ascii="Times New Roman" w:hAnsi="Times New Roman"/>
      <w:sz w:val="24"/>
      <w:szCs w:val="24"/>
    </w:rPr>
  </w:style>
  <w:style w:type="paragraph" w:styleId="af">
    <w:name w:val="footer"/>
    <w:basedOn w:val="a"/>
    <w:link w:val="af0"/>
    <w:uiPriority w:val="99"/>
    <w:unhideWhenUsed/>
    <w:locked/>
    <w:rsid w:val="00744E6D"/>
    <w:pPr>
      <w:tabs>
        <w:tab w:val="center" w:pos="4677"/>
        <w:tab w:val="right" w:pos="9355"/>
      </w:tabs>
    </w:pPr>
    <w:rPr>
      <w:lang w:val="x-none" w:eastAsia="x-none"/>
    </w:rPr>
  </w:style>
  <w:style w:type="character" w:customStyle="1" w:styleId="af0">
    <w:name w:val="Нижний колонтитул Знак"/>
    <w:link w:val="af"/>
    <w:uiPriority w:val="99"/>
    <w:rsid w:val="00744E6D"/>
    <w:rPr>
      <w:rFonts w:ascii="Times New Roman" w:hAnsi="Times New Roman"/>
      <w:sz w:val="24"/>
      <w:szCs w:val="24"/>
    </w:rPr>
  </w:style>
  <w:style w:type="table" w:styleId="af1">
    <w:name w:val="Table Grid"/>
    <w:basedOn w:val="a1"/>
    <w:rsid w:val="00513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253083">
      <w:bodyDiv w:val="1"/>
      <w:marLeft w:val="0"/>
      <w:marRight w:val="0"/>
      <w:marTop w:val="0"/>
      <w:marBottom w:val="0"/>
      <w:divBdr>
        <w:top w:val="none" w:sz="0" w:space="0" w:color="auto"/>
        <w:left w:val="none" w:sz="0" w:space="0" w:color="auto"/>
        <w:bottom w:val="none" w:sz="0" w:space="0" w:color="auto"/>
        <w:right w:val="none" w:sz="0" w:space="0" w:color="auto"/>
      </w:divBdr>
    </w:div>
    <w:div w:id="1495338516">
      <w:marLeft w:val="0"/>
      <w:marRight w:val="0"/>
      <w:marTop w:val="0"/>
      <w:marBottom w:val="0"/>
      <w:divBdr>
        <w:top w:val="none" w:sz="0" w:space="0" w:color="auto"/>
        <w:left w:val="none" w:sz="0" w:space="0" w:color="auto"/>
        <w:bottom w:val="none" w:sz="0" w:space="0" w:color="auto"/>
        <w:right w:val="none" w:sz="0" w:space="0" w:color="auto"/>
      </w:divBdr>
    </w:div>
    <w:div w:id="1495338517">
      <w:marLeft w:val="0"/>
      <w:marRight w:val="0"/>
      <w:marTop w:val="0"/>
      <w:marBottom w:val="0"/>
      <w:divBdr>
        <w:top w:val="none" w:sz="0" w:space="0" w:color="auto"/>
        <w:left w:val="none" w:sz="0" w:space="0" w:color="auto"/>
        <w:bottom w:val="none" w:sz="0" w:space="0" w:color="auto"/>
        <w:right w:val="none" w:sz="0" w:space="0" w:color="auto"/>
      </w:divBdr>
    </w:div>
    <w:div w:id="1495338518">
      <w:marLeft w:val="0"/>
      <w:marRight w:val="0"/>
      <w:marTop w:val="0"/>
      <w:marBottom w:val="0"/>
      <w:divBdr>
        <w:top w:val="none" w:sz="0" w:space="0" w:color="auto"/>
        <w:left w:val="none" w:sz="0" w:space="0" w:color="auto"/>
        <w:bottom w:val="none" w:sz="0" w:space="0" w:color="auto"/>
        <w:right w:val="none" w:sz="0" w:space="0" w:color="auto"/>
      </w:divBdr>
      <w:divsChild>
        <w:div w:id="1495338524">
          <w:marLeft w:val="0"/>
          <w:marRight w:val="0"/>
          <w:marTop w:val="0"/>
          <w:marBottom w:val="0"/>
          <w:divBdr>
            <w:top w:val="none" w:sz="0" w:space="0" w:color="auto"/>
            <w:left w:val="none" w:sz="0" w:space="0" w:color="auto"/>
            <w:bottom w:val="none" w:sz="0" w:space="0" w:color="auto"/>
            <w:right w:val="none" w:sz="0" w:space="0" w:color="auto"/>
          </w:divBdr>
        </w:div>
      </w:divsChild>
    </w:div>
    <w:div w:id="1495338519">
      <w:marLeft w:val="0"/>
      <w:marRight w:val="0"/>
      <w:marTop w:val="0"/>
      <w:marBottom w:val="0"/>
      <w:divBdr>
        <w:top w:val="none" w:sz="0" w:space="0" w:color="auto"/>
        <w:left w:val="none" w:sz="0" w:space="0" w:color="auto"/>
        <w:bottom w:val="none" w:sz="0" w:space="0" w:color="auto"/>
        <w:right w:val="none" w:sz="0" w:space="0" w:color="auto"/>
      </w:divBdr>
    </w:div>
    <w:div w:id="1495338521">
      <w:marLeft w:val="0"/>
      <w:marRight w:val="0"/>
      <w:marTop w:val="0"/>
      <w:marBottom w:val="0"/>
      <w:divBdr>
        <w:top w:val="none" w:sz="0" w:space="0" w:color="auto"/>
        <w:left w:val="none" w:sz="0" w:space="0" w:color="auto"/>
        <w:bottom w:val="none" w:sz="0" w:space="0" w:color="auto"/>
        <w:right w:val="none" w:sz="0" w:space="0" w:color="auto"/>
      </w:divBdr>
    </w:div>
    <w:div w:id="1495338522">
      <w:marLeft w:val="0"/>
      <w:marRight w:val="0"/>
      <w:marTop w:val="0"/>
      <w:marBottom w:val="0"/>
      <w:divBdr>
        <w:top w:val="none" w:sz="0" w:space="0" w:color="auto"/>
        <w:left w:val="none" w:sz="0" w:space="0" w:color="auto"/>
        <w:bottom w:val="none" w:sz="0" w:space="0" w:color="auto"/>
        <w:right w:val="none" w:sz="0" w:space="0" w:color="auto"/>
      </w:divBdr>
    </w:div>
    <w:div w:id="1495338523">
      <w:marLeft w:val="0"/>
      <w:marRight w:val="0"/>
      <w:marTop w:val="0"/>
      <w:marBottom w:val="0"/>
      <w:divBdr>
        <w:top w:val="none" w:sz="0" w:space="0" w:color="auto"/>
        <w:left w:val="none" w:sz="0" w:space="0" w:color="auto"/>
        <w:bottom w:val="none" w:sz="0" w:space="0" w:color="auto"/>
        <w:right w:val="none" w:sz="0" w:space="0" w:color="auto"/>
      </w:divBdr>
    </w:div>
    <w:div w:id="1495338525">
      <w:marLeft w:val="0"/>
      <w:marRight w:val="0"/>
      <w:marTop w:val="0"/>
      <w:marBottom w:val="0"/>
      <w:divBdr>
        <w:top w:val="none" w:sz="0" w:space="0" w:color="auto"/>
        <w:left w:val="none" w:sz="0" w:space="0" w:color="auto"/>
        <w:bottom w:val="none" w:sz="0" w:space="0" w:color="auto"/>
        <w:right w:val="none" w:sz="0" w:space="0" w:color="auto"/>
      </w:divBdr>
    </w:div>
    <w:div w:id="1495338526">
      <w:marLeft w:val="0"/>
      <w:marRight w:val="0"/>
      <w:marTop w:val="0"/>
      <w:marBottom w:val="0"/>
      <w:divBdr>
        <w:top w:val="none" w:sz="0" w:space="0" w:color="auto"/>
        <w:left w:val="none" w:sz="0" w:space="0" w:color="auto"/>
        <w:bottom w:val="none" w:sz="0" w:space="0" w:color="auto"/>
        <w:right w:val="none" w:sz="0" w:space="0" w:color="auto"/>
      </w:divBdr>
    </w:div>
    <w:div w:id="1495338527">
      <w:marLeft w:val="0"/>
      <w:marRight w:val="0"/>
      <w:marTop w:val="0"/>
      <w:marBottom w:val="0"/>
      <w:divBdr>
        <w:top w:val="none" w:sz="0" w:space="0" w:color="auto"/>
        <w:left w:val="none" w:sz="0" w:space="0" w:color="auto"/>
        <w:bottom w:val="none" w:sz="0" w:space="0" w:color="auto"/>
        <w:right w:val="none" w:sz="0" w:space="0" w:color="auto"/>
      </w:divBdr>
    </w:div>
    <w:div w:id="1495338528">
      <w:marLeft w:val="0"/>
      <w:marRight w:val="0"/>
      <w:marTop w:val="0"/>
      <w:marBottom w:val="0"/>
      <w:divBdr>
        <w:top w:val="none" w:sz="0" w:space="0" w:color="auto"/>
        <w:left w:val="none" w:sz="0" w:space="0" w:color="auto"/>
        <w:bottom w:val="none" w:sz="0" w:space="0" w:color="auto"/>
        <w:right w:val="none" w:sz="0" w:space="0" w:color="auto"/>
      </w:divBdr>
      <w:divsChild>
        <w:div w:id="1495338551">
          <w:marLeft w:val="0"/>
          <w:marRight w:val="0"/>
          <w:marTop w:val="0"/>
          <w:marBottom w:val="0"/>
          <w:divBdr>
            <w:top w:val="none" w:sz="0" w:space="0" w:color="auto"/>
            <w:left w:val="none" w:sz="0" w:space="0" w:color="auto"/>
            <w:bottom w:val="none" w:sz="0" w:space="0" w:color="auto"/>
            <w:right w:val="none" w:sz="0" w:space="0" w:color="auto"/>
          </w:divBdr>
        </w:div>
      </w:divsChild>
    </w:div>
    <w:div w:id="1495338530">
      <w:marLeft w:val="0"/>
      <w:marRight w:val="0"/>
      <w:marTop w:val="0"/>
      <w:marBottom w:val="0"/>
      <w:divBdr>
        <w:top w:val="none" w:sz="0" w:space="0" w:color="auto"/>
        <w:left w:val="none" w:sz="0" w:space="0" w:color="auto"/>
        <w:bottom w:val="none" w:sz="0" w:space="0" w:color="auto"/>
        <w:right w:val="none" w:sz="0" w:space="0" w:color="auto"/>
      </w:divBdr>
    </w:div>
    <w:div w:id="1495338531">
      <w:marLeft w:val="0"/>
      <w:marRight w:val="0"/>
      <w:marTop w:val="0"/>
      <w:marBottom w:val="0"/>
      <w:divBdr>
        <w:top w:val="none" w:sz="0" w:space="0" w:color="auto"/>
        <w:left w:val="none" w:sz="0" w:space="0" w:color="auto"/>
        <w:bottom w:val="none" w:sz="0" w:space="0" w:color="auto"/>
        <w:right w:val="none" w:sz="0" w:space="0" w:color="auto"/>
      </w:divBdr>
    </w:div>
    <w:div w:id="1495338532">
      <w:marLeft w:val="0"/>
      <w:marRight w:val="0"/>
      <w:marTop w:val="0"/>
      <w:marBottom w:val="0"/>
      <w:divBdr>
        <w:top w:val="none" w:sz="0" w:space="0" w:color="auto"/>
        <w:left w:val="none" w:sz="0" w:space="0" w:color="auto"/>
        <w:bottom w:val="none" w:sz="0" w:space="0" w:color="auto"/>
        <w:right w:val="none" w:sz="0" w:space="0" w:color="auto"/>
      </w:divBdr>
    </w:div>
    <w:div w:id="1495338533">
      <w:marLeft w:val="0"/>
      <w:marRight w:val="0"/>
      <w:marTop w:val="0"/>
      <w:marBottom w:val="0"/>
      <w:divBdr>
        <w:top w:val="none" w:sz="0" w:space="0" w:color="auto"/>
        <w:left w:val="none" w:sz="0" w:space="0" w:color="auto"/>
        <w:bottom w:val="none" w:sz="0" w:space="0" w:color="auto"/>
        <w:right w:val="none" w:sz="0" w:space="0" w:color="auto"/>
      </w:divBdr>
    </w:div>
    <w:div w:id="1495338534">
      <w:marLeft w:val="0"/>
      <w:marRight w:val="0"/>
      <w:marTop w:val="0"/>
      <w:marBottom w:val="0"/>
      <w:divBdr>
        <w:top w:val="none" w:sz="0" w:space="0" w:color="auto"/>
        <w:left w:val="none" w:sz="0" w:space="0" w:color="auto"/>
        <w:bottom w:val="none" w:sz="0" w:space="0" w:color="auto"/>
        <w:right w:val="none" w:sz="0" w:space="0" w:color="auto"/>
      </w:divBdr>
    </w:div>
    <w:div w:id="1495338535">
      <w:marLeft w:val="0"/>
      <w:marRight w:val="0"/>
      <w:marTop w:val="0"/>
      <w:marBottom w:val="0"/>
      <w:divBdr>
        <w:top w:val="none" w:sz="0" w:space="0" w:color="auto"/>
        <w:left w:val="none" w:sz="0" w:space="0" w:color="auto"/>
        <w:bottom w:val="none" w:sz="0" w:space="0" w:color="auto"/>
        <w:right w:val="none" w:sz="0" w:space="0" w:color="auto"/>
      </w:divBdr>
    </w:div>
    <w:div w:id="1495338536">
      <w:marLeft w:val="0"/>
      <w:marRight w:val="0"/>
      <w:marTop w:val="0"/>
      <w:marBottom w:val="0"/>
      <w:divBdr>
        <w:top w:val="none" w:sz="0" w:space="0" w:color="auto"/>
        <w:left w:val="none" w:sz="0" w:space="0" w:color="auto"/>
        <w:bottom w:val="none" w:sz="0" w:space="0" w:color="auto"/>
        <w:right w:val="none" w:sz="0" w:space="0" w:color="auto"/>
      </w:divBdr>
    </w:div>
    <w:div w:id="1495338537">
      <w:marLeft w:val="0"/>
      <w:marRight w:val="0"/>
      <w:marTop w:val="0"/>
      <w:marBottom w:val="0"/>
      <w:divBdr>
        <w:top w:val="none" w:sz="0" w:space="0" w:color="auto"/>
        <w:left w:val="none" w:sz="0" w:space="0" w:color="auto"/>
        <w:bottom w:val="none" w:sz="0" w:space="0" w:color="auto"/>
        <w:right w:val="none" w:sz="0" w:space="0" w:color="auto"/>
      </w:divBdr>
    </w:div>
    <w:div w:id="1495338538">
      <w:marLeft w:val="0"/>
      <w:marRight w:val="0"/>
      <w:marTop w:val="0"/>
      <w:marBottom w:val="0"/>
      <w:divBdr>
        <w:top w:val="none" w:sz="0" w:space="0" w:color="auto"/>
        <w:left w:val="none" w:sz="0" w:space="0" w:color="auto"/>
        <w:bottom w:val="none" w:sz="0" w:space="0" w:color="auto"/>
        <w:right w:val="none" w:sz="0" w:space="0" w:color="auto"/>
      </w:divBdr>
      <w:divsChild>
        <w:div w:id="1495338562">
          <w:marLeft w:val="0"/>
          <w:marRight w:val="0"/>
          <w:marTop w:val="0"/>
          <w:marBottom w:val="0"/>
          <w:divBdr>
            <w:top w:val="none" w:sz="0" w:space="0" w:color="auto"/>
            <w:left w:val="none" w:sz="0" w:space="0" w:color="auto"/>
            <w:bottom w:val="none" w:sz="0" w:space="0" w:color="auto"/>
            <w:right w:val="none" w:sz="0" w:space="0" w:color="auto"/>
          </w:divBdr>
        </w:div>
      </w:divsChild>
    </w:div>
    <w:div w:id="1495338539">
      <w:marLeft w:val="0"/>
      <w:marRight w:val="0"/>
      <w:marTop w:val="0"/>
      <w:marBottom w:val="0"/>
      <w:divBdr>
        <w:top w:val="none" w:sz="0" w:space="0" w:color="auto"/>
        <w:left w:val="none" w:sz="0" w:space="0" w:color="auto"/>
        <w:bottom w:val="none" w:sz="0" w:space="0" w:color="auto"/>
        <w:right w:val="none" w:sz="0" w:space="0" w:color="auto"/>
      </w:divBdr>
    </w:div>
    <w:div w:id="1495338541">
      <w:marLeft w:val="0"/>
      <w:marRight w:val="0"/>
      <w:marTop w:val="0"/>
      <w:marBottom w:val="0"/>
      <w:divBdr>
        <w:top w:val="none" w:sz="0" w:space="0" w:color="auto"/>
        <w:left w:val="none" w:sz="0" w:space="0" w:color="auto"/>
        <w:bottom w:val="none" w:sz="0" w:space="0" w:color="auto"/>
        <w:right w:val="none" w:sz="0" w:space="0" w:color="auto"/>
      </w:divBdr>
    </w:div>
    <w:div w:id="1495338542">
      <w:marLeft w:val="0"/>
      <w:marRight w:val="0"/>
      <w:marTop w:val="0"/>
      <w:marBottom w:val="0"/>
      <w:divBdr>
        <w:top w:val="none" w:sz="0" w:space="0" w:color="auto"/>
        <w:left w:val="none" w:sz="0" w:space="0" w:color="auto"/>
        <w:bottom w:val="none" w:sz="0" w:space="0" w:color="auto"/>
        <w:right w:val="none" w:sz="0" w:space="0" w:color="auto"/>
      </w:divBdr>
    </w:div>
    <w:div w:id="1495338543">
      <w:marLeft w:val="0"/>
      <w:marRight w:val="0"/>
      <w:marTop w:val="0"/>
      <w:marBottom w:val="0"/>
      <w:divBdr>
        <w:top w:val="none" w:sz="0" w:space="0" w:color="auto"/>
        <w:left w:val="none" w:sz="0" w:space="0" w:color="auto"/>
        <w:bottom w:val="none" w:sz="0" w:space="0" w:color="auto"/>
        <w:right w:val="none" w:sz="0" w:space="0" w:color="auto"/>
      </w:divBdr>
    </w:div>
    <w:div w:id="1495338544">
      <w:marLeft w:val="0"/>
      <w:marRight w:val="0"/>
      <w:marTop w:val="0"/>
      <w:marBottom w:val="0"/>
      <w:divBdr>
        <w:top w:val="none" w:sz="0" w:space="0" w:color="auto"/>
        <w:left w:val="none" w:sz="0" w:space="0" w:color="auto"/>
        <w:bottom w:val="none" w:sz="0" w:space="0" w:color="auto"/>
        <w:right w:val="none" w:sz="0" w:space="0" w:color="auto"/>
      </w:divBdr>
      <w:divsChild>
        <w:div w:id="1495338540">
          <w:marLeft w:val="0"/>
          <w:marRight w:val="0"/>
          <w:marTop w:val="0"/>
          <w:marBottom w:val="0"/>
          <w:divBdr>
            <w:top w:val="none" w:sz="0" w:space="0" w:color="auto"/>
            <w:left w:val="none" w:sz="0" w:space="0" w:color="auto"/>
            <w:bottom w:val="none" w:sz="0" w:space="0" w:color="auto"/>
            <w:right w:val="none" w:sz="0" w:space="0" w:color="auto"/>
          </w:divBdr>
        </w:div>
      </w:divsChild>
    </w:div>
    <w:div w:id="1495338545">
      <w:marLeft w:val="0"/>
      <w:marRight w:val="0"/>
      <w:marTop w:val="0"/>
      <w:marBottom w:val="0"/>
      <w:divBdr>
        <w:top w:val="none" w:sz="0" w:space="0" w:color="auto"/>
        <w:left w:val="none" w:sz="0" w:space="0" w:color="auto"/>
        <w:bottom w:val="none" w:sz="0" w:space="0" w:color="auto"/>
        <w:right w:val="none" w:sz="0" w:space="0" w:color="auto"/>
      </w:divBdr>
    </w:div>
    <w:div w:id="1495338546">
      <w:marLeft w:val="0"/>
      <w:marRight w:val="0"/>
      <w:marTop w:val="0"/>
      <w:marBottom w:val="0"/>
      <w:divBdr>
        <w:top w:val="none" w:sz="0" w:space="0" w:color="auto"/>
        <w:left w:val="none" w:sz="0" w:space="0" w:color="auto"/>
        <w:bottom w:val="none" w:sz="0" w:space="0" w:color="auto"/>
        <w:right w:val="none" w:sz="0" w:space="0" w:color="auto"/>
      </w:divBdr>
      <w:divsChild>
        <w:div w:id="1495338529">
          <w:marLeft w:val="0"/>
          <w:marRight w:val="0"/>
          <w:marTop w:val="0"/>
          <w:marBottom w:val="0"/>
          <w:divBdr>
            <w:top w:val="none" w:sz="0" w:space="0" w:color="auto"/>
            <w:left w:val="none" w:sz="0" w:space="0" w:color="auto"/>
            <w:bottom w:val="none" w:sz="0" w:space="0" w:color="auto"/>
            <w:right w:val="none" w:sz="0" w:space="0" w:color="auto"/>
          </w:divBdr>
        </w:div>
      </w:divsChild>
    </w:div>
    <w:div w:id="1495338547">
      <w:marLeft w:val="0"/>
      <w:marRight w:val="0"/>
      <w:marTop w:val="0"/>
      <w:marBottom w:val="0"/>
      <w:divBdr>
        <w:top w:val="none" w:sz="0" w:space="0" w:color="auto"/>
        <w:left w:val="none" w:sz="0" w:space="0" w:color="auto"/>
        <w:bottom w:val="none" w:sz="0" w:space="0" w:color="auto"/>
        <w:right w:val="none" w:sz="0" w:space="0" w:color="auto"/>
      </w:divBdr>
    </w:div>
    <w:div w:id="1495338548">
      <w:marLeft w:val="0"/>
      <w:marRight w:val="0"/>
      <w:marTop w:val="0"/>
      <w:marBottom w:val="0"/>
      <w:divBdr>
        <w:top w:val="none" w:sz="0" w:space="0" w:color="auto"/>
        <w:left w:val="none" w:sz="0" w:space="0" w:color="auto"/>
        <w:bottom w:val="none" w:sz="0" w:space="0" w:color="auto"/>
        <w:right w:val="none" w:sz="0" w:space="0" w:color="auto"/>
      </w:divBdr>
    </w:div>
    <w:div w:id="1495338549">
      <w:marLeft w:val="0"/>
      <w:marRight w:val="0"/>
      <w:marTop w:val="0"/>
      <w:marBottom w:val="0"/>
      <w:divBdr>
        <w:top w:val="none" w:sz="0" w:space="0" w:color="auto"/>
        <w:left w:val="none" w:sz="0" w:space="0" w:color="auto"/>
        <w:bottom w:val="none" w:sz="0" w:space="0" w:color="auto"/>
        <w:right w:val="none" w:sz="0" w:space="0" w:color="auto"/>
      </w:divBdr>
    </w:div>
    <w:div w:id="1495338550">
      <w:marLeft w:val="0"/>
      <w:marRight w:val="0"/>
      <w:marTop w:val="0"/>
      <w:marBottom w:val="0"/>
      <w:divBdr>
        <w:top w:val="none" w:sz="0" w:space="0" w:color="auto"/>
        <w:left w:val="none" w:sz="0" w:space="0" w:color="auto"/>
        <w:bottom w:val="none" w:sz="0" w:space="0" w:color="auto"/>
        <w:right w:val="none" w:sz="0" w:space="0" w:color="auto"/>
      </w:divBdr>
    </w:div>
    <w:div w:id="1495338552">
      <w:marLeft w:val="0"/>
      <w:marRight w:val="0"/>
      <w:marTop w:val="0"/>
      <w:marBottom w:val="0"/>
      <w:divBdr>
        <w:top w:val="none" w:sz="0" w:space="0" w:color="auto"/>
        <w:left w:val="none" w:sz="0" w:space="0" w:color="auto"/>
        <w:bottom w:val="none" w:sz="0" w:space="0" w:color="auto"/>
        <w:right w:val="none" w:sz="0" w:space="0" w:color="auto"/>
      </w:divBdr>
    </w:div>
    <w:div w:id="1495338553">
      <w:marLeft w:val="0"/>
      <w:marRight w:val="0"/>
      <w:marTop w:val="0"/>
      <w:marBottom w:val="0"/>
      <w:divBdr>
        <w:top w:val="none" w:sz="0" w:space="0" w:color="auto"/>
        <w:left w:val="none" w:sz="0" w:space="0" w:color="auto"/>
        <w:bottom w:val="none" w:sz="0" w:space="0" w:color="auto"/>
        <w:right w:val="none" w:sz="0" w:space="0" w:color="auto"/>
      </w:divBdr>
      <w:divsChild>
        <w:div w:id="1495338557">
          <w:marLeft w:val="0"/>
          <w:marRight w:val="0"/>
          <w:marTop w:val="0"/>
          <w:marBottom w:val="0"/>
          <w:divBdr>
            <w:top w:val="none" w:sz="0" w:space="0" w:color="auto"/>
            <w:left w:val="none" w:sz="0" w:space="0" w:color="auto"/>
            <w:bottom w:val="none" w:sz="0" w:space="0" w:color="auto"/>
            <w:right w:val="none" w:sz="0" w:space="0" w:color="auto"/>
          </w:divBdr>
        </w:div>
      </w:divsChild>
    </w:div>
    <w:div w:id="1495338554">
      <w:marLeft w:val="0"/>
      <w:marRight w:val="0"/>
      <w:marTop w:val="0"/>
      <w:marBottom w:val="0"/>
      <w:divBdr>
        <w:top w:val="none" w:sz="0" w:space="0" w:color="auto"/>
        <w:left w:val="none" w:sz="0" w:space="0" w:color="auto"/>
        <w:bottom w:val="none" w:sz="0" w:space="0" w:color="auto"/>
        <w:right w:val="none" w:sz="0" w:space="0" w:color="auto"/>
      </w:divBdr>
    </w:div>
    <w:div w:id="1495338555">
      <w:marLeft w:val="0"/>
      <w:marRight w:val="0"/>
      <w:marTop w:val="0"/>
      <w:marBottom w:val="0"/>
      <w:divBdr>
        <w:top w:val="none" w:sz="0" w:space="0" w:color="auto"/>
        <w:left w:val="none" w:sz="0" w:space="0" w:color="auto"/>
        <w:bottom w:val="none" w:sz="0" w:space="0" w:color="auto"/>
        <w:right w:val="none" w:sz="0" w:space="0" w:color="auto"/>
      </w:divBdr>
    </w:div>
    <w:div w:id="1495338556">
      <w:marLeft w:val="0"/>
      <w:marRight w:val="0"/>
      <w:marTop w:val="0"/>
      <w:marBottom w:val="0"/>
      <w:divBdr>
        <w:top w:val="none" w:sz="0" w:space="0" w:color="auto"/>
        <w:left w:val="none" w:sz="0" w:space="0" w:color="auto"/>
        <w:bottom w:val="none" w:sz="0" w:space="0" w:color="auto"/>
        <w:right w:val="none" w:sz="0" w:space="0" w:color="auto"/>
      </w:divBdr>
    </w:div>
    <w:div w:id="1495338558">
      <w:marLeft w:val="0"/>
      <w:marRight w:val="0"/>
      <w:marTop w:val="0"/>
      <w:marBottom w:val="0"/>
      <w:divBdr>
        <w:top w:val="none" w:sz="0" w:space="0" w:color="auto"/>
        <w:left w:val="none" w:sz="0" w:space="0" w:color="auto"/>
        <w:bottom w:val="none" w:sz="0" w:space="0" w:color="auto"/>
        <w:right w:val="none" w:sz="0" w:space="0" w:color="auto"/>
      </w:divBdr>
    </w:div>
    <w:div w:id="1495338559">
      <w:marLeft w:val="0"/>
      <w:marRight w:val="0"/>
      <w:marTop w:val="0"/>
      <w:marBottom w:val="0"/>
      <w:divBdr>
        <w:top w:val="none" w:sz="0" w:space="0" w:color="auto"/>
        <w:left w:val="none" w:sz="0" w:space="0" w:color="auto"/>
        <w:bottom w:val="none" w:sz="0" w:space="0" w:color="auto"/>
        <w:right w:val="none" w:sz="0" w:space="0" w:color="auto"/>
      </w:divBdr>
    </w:div>
    <w:div w:id="1495338560">
      <w:marLeft w:val="0"/>
      <w:marRight w:val="0"/>
      <w:marTop w:val="0"/>
      <w:marBottom w:val="0"/>
      <w:divBdr>
        <w:top w:val="none" w:sz="0" w:space="0" w:color="auto"/>
        <w:left w:val="none" w:sz="0" w:space="0" w:color="auto"/>
        <w:bottom w:val="none" w:sz="0" w:space="0" w:color="auto"/>
        <w:right w:val="none" w:sz="0" w:space="0" w:color="auto"/>
      </w:divBdr>
    </w:div>
    <w:div w:id="1495338561">
      <w:marLeft w:val="0"/>
      <w:marRight w:val="0"/>
      <w:marTop w:val="0"/>
      <w:marBottom w:val="0"/>
      <w:divBdr>
        <w:top w:val="none" w:sz="0" w:space="0" w:color="auto"/>
        <w:left w:val="none" w:sz="0" w:space="0" w:color="auto"/>
        <w:bottom w:val="none" w:sz="0" w:space="0" w:color="auto"/>
        <w:right w:val="none" w:sz="0" w:space="0" w:color="auto"/>
      </w:divBdr>
    </w:div>
    <w:div w:id="1495338563">
      <w:marLeft w:val="0"/>
      <w:marRight w:val="0"/>
      <w:marTop w:val="0"/>
      <w:marBottom w:val="0"/>
      <w:divBdr>
        <w:top w:val="none" w:sz="0" w:space="0" w:color="auto"/>
        <w:left w:val="none" w:sz="0" w:space="0" w:color="auto"/>
        <w:bottom w:val="none" w:sz="0" w:space="0" w:color="auto"/>
        <w:right w:val="none" w:sz="0" w:space="0" w:color="auto"/>
      </w:divBdr>
    </w:div>
    <w:div w:id="1495338564">
      <w:marLeft w:val="0"/>
      <w:marRight w:val="0"/>
      <w:marTop w:val="0"/>
      <w:marBottom w:val="0"/>
      <w:divBdr>
        <w:top w:val="none" w:sz="0" w:space="0" w:color="auto"/>
        <w:left w:val="none" w:sz="0" w:space="0" w:color="auto"/>
        <w:bottom w:val="none" w:sz="0" w:space="0" w:color="auto"/>
        <w:right w:val="none" w:sz="0" w:space="0" w:color="auto"/>
      </w:divBdr>
    </w:div>
    <w:div w:id="1495338565">
      <w:marLeft w:val="0"/>
      <w:marRight w:val="0"/>
      <w:marTop w:val="0"/>
      <w:marBottom w:val="0"/>
      <w:divBdr>
        <w:top w:val="none" w:sz="0" w:space="0" w:color="auto"/>
        <w:left w:val="none" w:sz="0" w:space="0" w:color="auto"/>
        <w:bottom w:val="none" w:sz="0" w:space="0" w:color="auto"/>
        <w:right w:val="none" w:sz="0" w:space="0" w:color="auto"/>
      </w:divBdr>
    </w:div>
    <w:div w:id="1495338566">
      <w:marLeft w:val="0"/>
      <w:marRight w:val="0"/>
      <w:marTop w:val="0"/>
      <w:marBottom w:val="0"/>
      <w:divBdr>
        <w:top w:val="none" w:sz="0" w:space="0" w:color="auto"/>
        <w:left w:val="none" w:sz="0" w:space="0" w:color="auto"/>
        <w:bottom w:val="none" w:sz="0" w:space="0" w:color="auto"/>
        <w:right w:val="none" w:sz="0" w:space="0" w:color="auto"/>
      </w:divBdr>
    </w:div>
    <w:div w:id="1495338567">
      <w:marLeft w:val="0"/>
      <w:marRight w:val="0"/>
      <w:marTop w:val="0"/>
      <w:marBottom w:val="0"/>
      <w:divBdr>
        <w:top w:val="none" w:sz="0" w:space="0" w:color="auto"/>
        <w:left w:val="none" w:sz="0" w:space="0" w:color="auto"/>
        <w:bottom w:val="none" w:sz="0" w:space="0" w:color="auto"/>
        <w:right w:val="none" w:sz="0" w:space="0" w:color="auto"/>
      </w:divBdr>
      <w:divsChild>
        <w:div w:id="1495338520">
          <w:marLeft w:val="0"/>
          <w:marRight w:val="0"/>
          <w:marTop w:val="0"/>
          <w:marBottom w:val="0"/>
          <w:divBdr>
            <w:top w:val="none" w:sz="0" w:space="0" w:color="auto"/>
            <w:left w:val="none" w:sz="0" w:space="0" w:color="auto"/>
            <w:bottom w:val="none" w:sz="0" w:space="0" w:color="auto"/>
            <w:right w:val="none" w:sz="0" w:space="0" w:color="auto"/>
          </w:divBdr>
        </w:div>
      </w:divsChild>
    </w:div>
    <w:div w:id="1495338568">
      <w:marLeft w:val="0"/>
      <w:marRight w:val="0"/>
      <w:marTop w:val="0"/>
      <w:marBottom w:val="0"/>
      <w:divBdr>
        <w:top w:val="none" w:sz="0" w:space="0" w:color="auto"/>
        <w:left w:val="none" w:sz="0" w:space="0" w:color="auto"/>
        <w:bottom w:val="none" w:sz="0" w:space="0" w:color="auto"/>
        <w:right w:val="none" w:sz="0" w:space="0" w:color="auto"/>
      </w:divBdr>
    </w:div>
    <w:div w:id="1495338569">
      <w:marLeft w:val="0"/>
      <w:marRight w:val="0"/>
      <w:marTop w:val="0"/>
      <w:marBottom w:val="0"/>
      <w:divBdr>
        <w:top w:val="none" w:sz="0" w:space="0" w:color="auto"/>
        <w:left w:val="none" w:sz="0" w:space="0" w:color="auto"/>
        <w:bottom w:val="none" w:sz="0" w:space="0" w:color="auto"/>
        <w:right w:val="none" w:sz="0" w:space="0" w:color="auto"/>
      </w:divBdr>
    </w:div>
    <w:div w:id="1495338570">
      <w:marLeft w:val="0"/>
      <w:marRight w:val="0"/>
      <w:marTop w:val="0"/>
      <w:marBottom w:val="0"/>
      <w:divBdr>
        <w:top w:val="none" w:sz="0" w:space="0" w:color="auto"/>
        <w:left w:val="none" w:sz="0" w:space="0" w:color="auto"/>
        <w:bottom w:val="none" w:sz="0" w:space="0" w:color="auto"/>
        <w:right w:val="none" w:sz="0" w:space="0" w:color="auto"/>
      </w:divBdr>
    </w:div>
    <w:div w:id="1495338571">
      <w:marLeft w:val="0"/>
      <w:marRight w:val="0"/>
      <w:marTop w:val="0"/>
      <w:marBottom w:val="0"/>
      <w:divBdr>
        <w:top w:val="none" w:sz="0" w:space="0" w:color="auto"/>
        <w:left w:val="none" w:sz="0" w:space="0" w:color="auto"/>
        <w:bottom w:val="none" w:sz="0" w:space="0" w:color="auto"/>
        <w:right w:val="none" w:sz="0" w:space="0" w:color="auto"/>
      </w:divBdr>
    </w:div>
    <w:div w:id="154332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8C144-CFB1-475A-B3C0-08EA3BEA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1852</Words>
  <Characters>10563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Тарифная стоимость:</vt:lpstr>
    </vt:vector>
  </TitlesOfParts>
  <Company>ASR-Universal Tehnologies</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Тарифная стоимость:</dc:title>
  <dc:subject/>
  <dc:creator>win</dc:creator>
  <cp:keywords/>
  <dc:description/>
  <cp:lastModifiedBy>User</cp:lastModifiedBy>
  <cp:revision>7</cp:revision>
  <cp:lastPrinted>2020-09-15T13:03:00Z</cp:lastPrinted>
  <dcterms:created xsi:type="dcterms:W3CDTF">2021-11-22T10:42:00Z</dcterms:created>
  <dcterms:modified xsi:type="dcterms:W3CDTF">2021-11-26T11:19:00Z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 bo‘yicha maʼlumotlar</w:name>
    <w:value w:hidden="true">
      <w:unit w:active="false"/>
    </w:value>
  </w:element>
  <w:element w:id="6" w:kind="variable" w:selector="check" w:type="string" w:valueMode="normal" w:required="false" w:groupID="5">
    <w:identifier xml:space="preserve">ID6</w:identifier>
    <w:name xml:space="preserve">“Taʼminotchi” tarafning nomi</w:name>
    <w:value w:hidden="false">
      <w:unit w:active="false"/>
    </w:value>
  </w:element>
  <w:element w:id="7" w:kind="variable" w:selector="check" w:type="string" w:valueMode="normal" w:required="false" w:groupID="5">
    <w:identifier xml:space="preserve">ID7</w:identifier>
    <w:name xml:space="preserve">“Taʼminotchi” taraf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“Taʼminotchi” tarafning manzili</w:name>
    <w:value w:hidden="false">
      <w:unit w:active="false"/>
    </w:value>
  </w:element>
  <w:element w:id="9" w:kind="variable" w:selector="check" w:type="string" w:valueMode="normal" w:required="false" w:groupID="5">
    <w:identifier xml:space="preserve">ID9</w:identifier>
    <w:name xml:space="preserve">“Taʼminotchi” tarafning hisob raqami joylashgan bank nomi</w:name>
    <w:value w:hidden="false">
      <w:unit w:active="false"/>
    </w:value>
  </w:element>
  <w:element w:id="10" w:kind="variable" w:selector="check" w:type="string" w:valueMode="normal" w:required="false" w:groupID="5">
    <w:identifier xml:space="preserve">ID10</w:identifier>
    <w:name xml:space="preserve">“Taʼminotchi” tarafning hisob raqami</w:name>
    <w:value w:hidden="false">
      <w:unit w:active="false"/>
    </w:value>
  </w:element>
  <w:element w:id="11" w:kind="variable" w:selector="check" w:type="string" w:valueMode="normal" w:required="false" w:groupID="5">
    <w:identifier xml:space="preserve">ID11</w:identifier>
    <w:name xml:space="preserve">“Taʼminotchi” tarafning STIR raqami</w:name>
    <w:value w:hidden="false">
      <w:unit w:active="false"/>
    </w:value>
  </w:element>
  <w:element w:id="12" w:kind="variable" w:selector="check" w:type="string" w:valueMode="normal" w:required="false" w:groupID="5">
    <w:identifier xml:space="preserve">ID12</w:identifier>
    <w:name xml:space="preserve">“Taʼminotchi” tarafning telefon raqami</w:name>
    <w:value w:hidden="false">
      <w:unit w:active="false"/>
    </w:value>
  </w:element>
  <w:element w:id="13" w:kind="category" w:selector="check" w:type="string" w:valueMode="normal" w:required="false">
    <w:identifier xml:space="preserve">ID13</w:identifier>
    <w:name xml:space="preserve">“Isteʼmolchi” bo‘yicha maʼlumotlar</w:name>
    <w:value w:hidden="true">
      <w:unit w:active="false"/>
    </w:value>
  </w:element>
  <w:element w:id="14" w:kind="variable" w:selector="check" w:type="string" w:valueMode="normal" w:required="false" w:groupID="13">
    <w:identifier xml:space="preserve">ID14</w:identifier>
    <w:name xml:space="preserve">Isteʼmolchining F.I.Osi</w:name>
    <w:value w:hidden="false">
      <w:unit w:active="false"/>
    </w:value>
  </w:element>
  <w:element w:id="15" w:kind="variable" w:selector="check" w:type="string" w:valueMode="normal" w:required="false" w:groupID="13">
    <w:identifier xml:space="preserve">ID15</w:identifier>
    <w:name xml:space="preserve">Isteʼmolchining manzili</w:name>
    <w:comment xml:space="preserve">Izoh: Viloyat, tuman (shahar), mahalla, ko‘cha nomi va uy raqami yoziladi</w:comment>
    <w:value w:hidden="false">
      <w:unit w:active="false"/>
    </w:value>
  </w:element>
  <w:element w:id="16" w:kind="variable" w:selector="check" w:type="date" w:valueMode="normal" w:required="false" w:groupID="13">
    <w:identifier xml:space="preserve">ID16</w:identifier>
    <w:name xml:space="preserve">Isteʼmolchining tug‘ilgan sanasi</w:name>
    <w:value w:hidden="false">
      <w:unit w:active="false"/>
    </w:value>
  </w:element>
  <w:element w:id="17" w:kind="variable" w:selector="check" w:type="string" w:valueMode="normal" w:required="false" w:groupID="13">
    <w:identifier xml:space="preserve">ID17</w:identifier>
    <w:name xml:space="preserve">Isteʼmolchining pasport seriyasi va raqami</w:name>
    <w:value w:hidden="false">
      <w:unit w:active="false"/>
    </w:value>
  </w:element>
  <w:element w:id="18" w:kind="variable" w:selector="check" w:type="string" w:valueMode="normal" w:required="false" w:groupID="13">
    <w:identifier xml:space="preserve">ID18</w:identifier>
    <w:name xml:space="preserve">Isteʼmolchiga pasport qachon va kim tomonidan berilgan</w:name>
    <w:value w:hidden="false">
      <w:unit w:active="false"/>
    </w:value>
  </w:element>
  <w:element w:id="19" w:kind="variable" w:selector="check" w:type="string" w:valueMode="normal" w:required="false" w:groupID="13">
    <w:identifier xml:space="preserve">ID19</w:identifier>
    <w:name xml:space="preserve">Isteʼmolchining telefon raqami</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“Isteʼmolchi”ga yetkazib berilgan 1m3 ichimlik suvi uchun to‘lov miqdori</w:name>
    <w:value w:hidden="false">
      <w:unit w:active="false"/>
    </w:value>
  </w:element>
  <w:element w:id="22" w:kind="variable" w:selector="check" w:type="string" w:valueMode="normal" w:required="false" w:groupID="20">
    <w:identifier xml:space="preserve">ID22</w:identifier>
    <w:name xml:space="preserve">Bir sutkada yetkazib beriladigan ichimlik suvi limiti miqdori (1m3)</w:name>
    <w:value w:hidden="false">
      <w:unit w:active="false"/>
    </w:value>
  </w:element>
  <w:element w:id="23" w:kind="variable" w:selector="check" w:type="string" w:valueMode="normal" w:required="false" w:groupID="20">
    <w:identifier xml:space="preserve">ID23</w:identifier>
    <w:name xml:space="preserve">Ichimlik suvi uchun taʼrif belgilash to‘g‘risidagi qarorning raqami</w:name>
    <w:value w:hidden="false">
      <w:unit w:active="false"/>
    </w:value>
  </w:element>
  <w:element w:id="24" w:kind="variable" w:selector="check" w:type="date" w:valueMode="normal" w:required="false" w:groupID="20">
    <w:identifier xml:space="preserve">ID24</w:identifier>
    <w:name xml:space="preserve">Ichimlik suvi uchun taʼrif belgilash to‘g‘risidagi qaror qabul qilingan sana</w:name>
    <w:value w:hidden="false">
      <w:unit w:active="false"/>
    </w:value>
  </w:element>
  <w:element w:id="25" w:kind="variable" w:selector="check" w:type="string" w:valueMode="normal" w:required="false" w:groupID="20">
    <w:identifier xml:space="preserve">ID25</w:identifier>
    <w:name xml:space="preserve">Suv taʼminoti xizmatlari tariflariga  isteʼmolchilar uchun belgilangan ustama xaq miqdori</w:name>
    <w:value w:hidden="false">
      <w:unit w:active="false"/>
    </w:value>
  </w:element>
  <w:element w:id="26" w:kind="variable" w:selector="check" w:type="date" w:valueMode="normal" w:required="false" w:groupID="20">
    <w:identifier xml:space="preserve">ID26</w:identifier>
    <w:name xml:space="preserve">Shartnomaning amal qilish muddati boshlanadigan sana</w:name>
    <w:value w:hidden="false">
      <w:unit w:active="false"/>
    </w:value>
  </w:element>
  <w:element w:id="27" w:kind="variable" w:selector="check" w:type="string" w:valueMode="normal" w:required="false" w:groupID="20">
    <w:identifier xml:space="preserve">ID27</w:identifier>
    <w:name xml:space="preserve">Shartnomaning amal qilish muddati tugaydigan sana</w:name>
    <w:value w:hidden="false">
      <w:unit w:active="false"/>
    </w:value>
  </w:element>
</w:structure>
</file>