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91"/>
        <w:gridCol w:w="488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Daʼvogar tarafning elektron pochta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 mazmuni:</w:t>
            </w:r>
            <w:r>
              <w:rPr>
                <w:sz w:val="28"/>
                <w:rFonts w:ascii="Times New Roman" w:hAnsi="Times New Roman"/>
              </w:rPr>
              <w:t xml:space="preserve"> Umumiy mulk boʻlgan uy-joydan foydalanish tartibini belgilash haqida </w:t>
            </w:r>
          </w:p>
        </w:tc>
      </w:tr>
    </w:tbl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DAʼVO ARIZA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(</w:t>
      </w:r>
      <w:r>
        <w:rPr>
          <w:sz w:val="28"/>
          <w:rFonts w:ascii="Times New Roman" w:hAnsi="Times New Roman"/>
        </w:rPr>
        <w:t xml:space="preserve">Umumiy mulk boʻlgan uy-joydan foydalanish tartibini belgilash haqida</w:t>
      </w:r>
      <w:r>
        <w:rPr>
          <w:sz w:val="24"/>
          <w:rFonts w:ascii="Times New Roman" w:hAnsi="Times New Roman"/>
        </w:rPr>
        <w:t>)</w:t>
      </w:r>
    </w:p>
    <w:p>
      <w:pPr>
        <w:jc w:val="both"/>
        <w:spacing w:after="0" w:line="240" w:lineRule="auto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yuqorida koʻrsatilgan manzilda roʻyxatdan oʻtgan holda yashab kelaman. 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Daʼvogar tomonidan javobgar bilan umumiy mudk bo‘lgan mol-mulkning sotib olingan sana</w:t>
        <w:fldChar w:fldCharType="end"/>
      </w:r>
      <w:r>
        <w:rPr>
          <w:sz w:val="28"/>
          <w:rFonts w:ascii="Times New Roman" w:hAnsi="Times New Roman"/>
        </w:rPr>
        <w:t xml:space="preserve"> kuni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oldi-sotdi shartnomasi tuzib unga tegishli boʻlgan uy-joyning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Uy-joyning sotib olingan qismi</w:t>
        <w:fldChar w:fldCharType="end"/>
      </w:r>
      <w:r>
        <w:rPr>
          <w:sz w:val="28"/>
          <w:rFonts w:ascii="Times New Roman" w:hAnsi="Times New Roman"/>
        </w:rPr>
        <w:t xml:space="preserve">qismini sotib olganman. 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oʻzimga tegishli boʻlgan uy-joyning qismini buzmoqchi boʻlganimda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bunga qarshilik koʻrsatib sudga murojaat qildi.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ishlari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Nizoni ko‘rib chiqqan sudning nomi</w:t>
        <w:fldChar w:fldCharType="end"/>
      </w:r>
      <w:r>
        <w:rPr>
          <w:sz w:val="28"/>
          <w:rFonts w:ascii="Times New Roman" w:hAnsi="Times New Roman"/>
        </w:rPr>
        <w:t xml:space="preserve"> sudi tomonidan tayinlangan sud qurilish ekspertizasini xulosasiga asosan uy-joyni ikkiga boʻlishni imkoni yoʻqligi koʻrsatilgan. Shundan soʻng nizoli uyga meni va javobgarni nomiga kadastr hujjatlari tayyorlangan. Lekin uydan har ikkimiz foydalanganimiz yoʻq.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Oʻzbekiston Respublikasi Fuqarolik kodeksining 219-moddasiga koʻra, ulushli mulkdagi umumiy mol-mulkka egalik qilish va undan foydalanish uning barcha ishtirokchilari kelishuviga muvofiq amalga oshiriladi. Bunday kelishuvga erishilmagan taqdirda, ulushli mulkdagi umumiy mol-mulkka egalik qilish va undan foydalanish sud tomonidan belgilanadigan tartibda amalga oshiriladi.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Oʻzbekiston Respublikasi Oliy sud Plenumining 2001-yil 14-sentyabrdagi “Uy-joy nizolari buyicha sud amaliyoti haqida”gi 22-sonli qarorining </w:t>
        <w:br/>
        <w:t xml:space="preserve">6-bandiga koʻra, ulushli mulkdagi uy-joylarni boʻlishda mulkdorlar oʻzaro kelisha olmagandagina sud tartibida hal qilinadi.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Ulushli yoki umumiy mulkda boʻlgan uy-joylarni boʻlishda sudlar, nizoli uy-joyda mavjud boʻlgan xonalar va foydalanishda boʻlgan umumiy maydonni hisobga olib, hissa boʻyicha teng yoki hissadan uncha koʻp, uncha kam boʻlmagan holda boʻlishni, yoxud ayrim xonalarni qayta qurish hisobidan uy-joyni boʻlish imkoniyati mavjudligi toʻgʻrisida tegishli ekspertiza xulosalarini inobatga olishlari zarur. Sud bunday mulkdagi uy-joylarni boʻlishda taraflarga ajratilgan barcha xona hamda qoʻshimcha va yordamchi imoratlarni oʻz qarorida aniq koʻrsatishi lozim.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Ulushli mulk sifatida boʻlgan turar-joylar mulkdorlarga ularning ulushini asl holda ajratib berish oʻrniga boshqa mulkdor tomonidan kompensatsiya toʻlanishiga mulkdorlarning roziligi bilan yoʻl qoʻyiladi. Mulkdorlarning ulushi shu turar-joyga nisbatan boshqa mulkdorning ulushidan ancha kam boʻlsa, ulushga teng taqsimlashning imkoni boʻlmasa, mulkdor nizoli uyda yashamayotgan boʻlsa, u boshqa uy-joy bilan taʼminlangan boʻlsa, mulkdan foydalanishda katta manfaatga ega boʻlmagan hollarda sud ushbu mulkdor rozilik bermagan taqdirda ham ulushli mulkning qolgan ishtirokchilari zimmasiga mazkur mulkdorga kompensatsiya toʻlash majburiyatini yuklashi mumkin.</w:t>
      </w:r>
    </w:p>
    <w:p>
      <w:pPr>
        <w:jc w:val="both"/>
        <w:shd w:fill="ffffff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Turar-joyni umumiy egalik ishtirokchilari oʻrtasida ularning hissasi boʻyicha boʻlishda alohida yashash xonasidan tashqari yordamchi xonalarni, alohida kirish-chiqish yoʻllari mavjudligini yoki ularni jihozlash yoʻli bilan boʻlishga imkoniyat boʻlgan taqdirdagina daʼvo qanoatlantirilishi lozim. Bunday imkoniyat boʻlmagan taqdirda, sud daʼvogarning iltimosiga koʻra, taraflarga turar-joydan foydalanish tartibini belgilab berishi yoki ushbu turar-joyni taraflar tegishli tartibda almashtirish yoxud ikkinchi tarafga hissasiga teng boshqa turar-joy olib berish huquqiga ega ekanliklarini tushuntirishi lozim.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Oʻzbekiston Respublikasi </w:t>
      </w:r>
      <w:r>
        <w:rPr>
          <w:sz w:val="28"/>
          <w:rFonts w:ascii="Times New Roman" w:hAnsi="Times New Roman"/>
        </w:rPr>
        <w:t xml:space="preserve">Fuqarolik protsessual kodeksining 188, 189-191-moddalari,</w:t>
      </w:r>
      <w:r>
        <w:rPr>
          <w:color w:val="000000"/>
          <w:sz w:val="28"/>
          <w:rFonts w:ascii="Times New Roman" w:hAnsi="Times New Roman"/>
        </w:rPr>
        <w:t xml:space="preserve"> Oʻzbekiston Respublikasi Fuqarolik kodeksining 219-moddaciga, </w:t>
      </w:r>
      <w:r>
        <w:rPr>
          <w:sz w:val="28"/>
          <w:rFonts w:ascii="Times New Roman" w:hAnsi="Times New Roman"/>
        </w:rPr>
        <w:t xml:space="preserve">Oʻzbekiston Respublikasi Oliy sudi Plenumining 2001-yil 14-sentyabrdagi 22-sonli “Uy-joy nizolari boʻyicha sud amaliyoti haqida”gi qarori va Oliy sudi Plenumning 1997-yil 2-maydagi “Xususiylashtirilgan turar joylarga egalik qilish, ulardan foydalanish va ularni tasarruf qilish bilan bogʻliq ishlar boʻyicha sud amaliyoti haqida”gi 3-sonli qarorlariga</w:t>
      </w:r>
      <w:r>
        <w:rPr>
          <w:color w:val="000000"/>
          <w:sz w:val="28"/>
          <w:rFonts w:ascii="Times New Roman" w:hAnsi="Times New Roman"/>
        </w:rPr>
        <w:t xml:space="preserve"> asosan</w:t>
      </w:r>
      <w:r>
        <w:rPr>
          <w:sz w:val="28"/>
          <w:rFonts w:ascii="Times New Roman" w:hAnsi="Times New Roman"/>
        </w:rPr>
        <w:t>,</w:t>
      </w: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SOʻRAYMAN:</w:t>
      </w: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Nizoli uy-joyning joylashgan manzili</w:t>
        <w:fldChar w:fldCharType="end"/>
      </w:r>
      <w:r>
        <w:rPr>
          <w:sz w:val="28"/>
          <w:rFonts w:ascii="Times New Roman" w:hAnsi="Times New Roman"/>
        </w:rPr>
        <w:t xml:space="preserve">da joylashgan kadastr raqami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Nizoli uy-joyning kadastr raqami</w:t>
        <w:fldChar w:fldCharType="end"/>
      </w:r>
      <w:r>
        <w:rPr>
          <w:sz w:val="28"/>
          <w:rFonts w:ascii="Times New Roman" w:hAnsi="Times New Roman"/>
        </w:rPr>
        <w:t xml:space="preserve"> boʻlgan nizoli uy-joydan meni va javobgarning foydalanish tartibini belgilab berishingizni soʻrayman.</w:t>
      </w: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Ilova:</w:t>
      </w:r>
      <w:r>
        <w:rPr>
          <w:sz w:val="28"/>
          <w:rFonts w:ascii="Times New Roman" w:hAnsi="Times New Roman"/>
        </w:rPr>
        <w:t xml:space="preserve"> 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arizasiga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292"/>
        <w:gridCol w:w="3345"/>
        <w:gridCol w:w="3284"/>
      </w:tblGrid>
      <w:tr>
        <w:tc>
          <w:tcPr>
            <w:tcW w:w="3379" w:type="dxa"/>
            <w:vMerge w:val="restart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Daʼvogar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Daʼvogar shaxsning F.I.O.si</w:t>
              <w:fldChar w:fldCharType="end"/>
            </w:r>
          </w:p>
        </w:tc>
        <w:tc>
          <w:tcPr>
            <w:tcW w:w="3379" w:type="dxa"/>
            <w:vMerge w:val="restart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  <w:p>
            <w:pPr>
              <w:pStyle w:val="ConsPlusNonformat"/>
              <w:jc w:val="center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  <w:vMerge w:val="continue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  <w:vMerge w:val="continue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pStyle w:val="ConsPlusNonformat"/>
        <w:jc w:val="both"/>
        <w:ind w:firstLine="284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284"/>
        <w:spacing w:line="276" w:lineRule="auto"/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sz w:val="28"/>
          <w:rFonts w:ascii="Times New Roman" w:hAnsi="Times New Roman"/>
        </w:rPr>
      </w:pPr>
    </w:p>
    <w:sectPr>
      <w:pgSz w:w="11906" w:h="16838"/>
      <w:pgMar w:left="1134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99"/>
    <w:rsid w:val="00003399"/>
    <w:rsid w:val="00014264"/>
    <w:rsid w:val="00025CD6"/>
    <w:rsid w:val="000344B8"/>
    <w:rsid w:val="000637FD"/>
    <w:rsid w:val="000B73F6"/>
    <w:rsid w:val="000D349A"/>
    <w:rsid w:val="001313F8"/>
    <w:rsid w:val="001B5984"/>
    <w:rsid w:val="001E0C89"/>
    <w:rsid w:val="002516E1"/>
    <w:rsid w:val="00256424"/>
    <w:rsid w:val="002A137A"/>
    <w:rsid w:val="002D49D1"/>
    <w:rsid w:val="002D7BB2"/>
    <w:rsid w:val="003763F7"/>
    <w:rsid w:val="003D23CB"/>
    <w:rsid w:val="00407A3A"/>
    <w:rsid w:val="00426288"/>
    <w:rsid w:val="0043179E"/>
    <w:rsid w:val="00460FCB"/>
    <w:rsid w:val="0049617E"/>
    <w:rsid w:val="00516C3E"/>
    <w:rsid w:val="00532DC5"/>
    <w:rsid w:val="00552B13"/>
    <w:rsid w:val="00587E35"/>
    <w:rsid w:val="005C0521"/>
    <w:rsid w:val="005C3CA6"/>
    <w:rsid w:val="005C57C3"/>
    <w:rsid w:val="005E4B44"/>
    <w:rsid w:val="00621999"/>
    <w:rsid w:val="00626718"/>
    <w:rsid w:val="006B197F"/>
    <w:rsid w:val="00741750"/>
    <w:rsid w:val="00744D4E"/>
    <w:rsid w:val="00762409"/>
    <w:rsid w:val="007D7F84"/>
    <w:rsid w:val="007E06D5"/>
    <w:rsid w:val="0082792C"/>
    <w:rsid w:val="008523D9"/>
    <w:rsid w:val="008570B9"/>
    <w:rsid w:val="00866242"/>
    <w:rsid w:val="00886078"/>
    <w:rsid w:val="00887880"/>
    <w:rsid w:val="008933DB"/>
    <w:rsid w:val="008B2517"/>
    <w:rsid w:val="008E2016"/>
    <w:rsid w:val="008F2EDF"/>
    <w:rsid w:val="00914D9E"/>
    <w:rsid w:val="00917EAF"/>
    <w:rsid w:val="00934C02"/>
    <w:rsid w:val="00944419"/>
    <w:rsid w:val="0095133D"/>
    <w:rsid w:val="00977E50"/>
    <w:rsid w:val="009A60E3"/>
    <w:rsid w:val="009D162D"/>
    <w:rsid w:val="009D2104"/>
    <w:rsid w:val="00A866A4"/>
    <w:rsid w:val="00AC7CF7"/>
    <w:rsid w:val="00AF38BD"/>
    <w:rsid w:val="00B22C0E"/>
    <w:rsid w:val="00B57BFB"/>
    <w:rsid w:val="00B71D72"/>
    <w:rsid w:val="00B809E2"/>
    <w:rsid w:val="00B954CF"/>
    <w:rsid w:val="00C54F22"/>
    <w:rsid w:val="00CA6FAE"/>
    <w:rsid w:val="00CB7642"/>
    <w:rsid w:val="00CD423D"/>
    <w:rsid w:val="00D00E4E"/>
    <w:rsid w:val="00D162B6"/>
    <w:rsid w:val="00D17152"/>
    <w:rsid w:val="00D471A2"/>
    <w:rsid w:val="00D70D46"/>
    <w:rsid w:val="00D7324E"/>
    <w:rsid w:val="00D8302C"/>
    <w:rsid w:val="00D908D3"/>
    <w:rsid w:val="00DF5F6F"/>
    <w:rsid w:val="00E10D56"/>
    <w:rsid w:val="00E13BFF"/>
    <w:rsid w:val="00E22049"/>
    <w:rsid w:val="00E31F55"/>
    <w:rsid w:val="00E33207"/>
    <w:rsid w:val="00E341BF"/>
    <w:rsid w:val="00E94F70"/>
    <w:rsid w:val="00EA1389"/>
    <w:rsid w:val="00EB3CB3"/>
    <w:rsid w:val="00EE5A7E"/>
    <w:rsid w:val="00F3529C"/>
    <w:rsid w:val="00F64483"/>
    <w:rsid w:val="00FC0F37"/>
    <w:rsid w:val="00FD6A1D"/>
    <w:rsid w:val="00FE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5D4FB-3805-4AA7-A5BC-C49BD8D6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9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C57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313F8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E22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7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6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H61</dc:creator>
  <cp:lastModifiedBy>Shakarboy Goyibnazarov</cp:lastModifiedBy>
  <cp:revision>2</cp:revision>
  <dcterms:created xsi:type="dcterms:W3CDTF">2022-08-20T11:05:00Z</dcterms:created>
  <dcterms:modified xsi:type="dcterms:W3CDTF">2022-08-20T11:05:00Z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 shaxsning F.I.O.si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Daʼvogar tarafning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 tarafning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yashash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F.I.O.si</w:name>
    <w:value w:hidden="false">
      <w:unit w:active="false"/>
    </w:value>
  </w:element>
  <w:element w:id="12" w:kind="variable" w:selector="check" w:type="number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pochta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Daʼvogar tomonidan javobgar bilan umumiy mudk bo‘lgan mol-mulkning sotib olingan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Uy-joyning sotib olingan qismi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Nizoni ko‘rib chiqqan sudning nomi</w:name>
    <w:value w:hidden="false">
      <w:unit w:active="false"/>
      <w:binding w:dataSource="1" w:column="court_name" w:search="false"/>
    </w:value>
  </w:element>
  <w:element w:id="18" w:kind="variable" w:selector="check" w:type="string" w:valueMode="normal" w:required="false" w:groupID="14">
    <w:identifier xml:space="preserve">ID18</w:identifier>
    <w:name xml:space="preserve">Nizoli uy-joyning joylashgan manzili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Nizoli uy-joyning kadastr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Daʼvo arizasiga ilova qilinadigan hujjatlar ro‘yxati</w:name>
    <w:value w:hidden="false">
      <w:unit w:active="false"/>
    </w:value>
  </w:element>
</w:structure>
</file>