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elektron pochta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pochta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 mazmuni:</w:t>
            </w:r>
            <w:r>
              <w:rPr>
                <w:sz w:val="28"/>
                <w:rFonts w:ascii="Times New Roman" w:hAnsi="Times New Roman"/>
              </w:rPr>
              <w:t xml:space="preserve"> Umumiy mulk bo‘lgan uydan foydalanish tartibini belgilash haqida </w:t>
            </w:r>
          </w:p>
        </w:tc>
      </w:tr>
    </w:tbl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</w:t>
      </w:r>
    </w:p>
    <w:p>
      <w:pPr>
        <w:jc w:val="center"/>
        <w:spacing w:after="0"/>
        <w:rPr>
          <w:sz w:val="24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(Umumiy mulk bo‘lgan uydan foydalanish tartibini belgilash haqida)</w:t>
      </w: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yuqorida ko‘rsatilgan manzilda ro‘yxatdan o‘tgan holda yashab kelaman. 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tomonidan javobgar bilan umumiy mudk bo‘lgan mol-mulkning sotib olingan sana</w:t>
        <w:fldChar w:fldCharType="end"/>
      </w:r>
      <w:r>
        <w:rPr>
          <w:sz w:val="28"/>
          <w:rFonts w:ascii="Times New Roman" w:hAnsi="Times New Roman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bilan oldi-sotdi shartnomasi tuzib unga tegishli bo‘lgan uy-joyning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Uy-joyning sotib olingan qismi</w:t>
        <w:fldChar w:fldCharType="end"/>
      </w:r>
      <w:r>
        <w:rPr>
          <w:sz w:val="28"/>
          <w:rFonts w:ascii="Times New Roman" w:hAnsi="Times New Roman"/>
        </w:rPr>
        <w:t xml:space="preserve"> qismini sotib olganman. 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o‘zimga tegishli bo‘lgan uy-joyning qismini buzmoqchi bo‘lganimda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bunga qarshilik ko‘rsatib sudga murojaat qildi.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ishlari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Nizoni ko‘rib chiqqan sudning nomi</w:t>
        <w:fldChar w:fldCharType="end"/>
      </w:r>
      <w:r>
        <w:rPr>
          <w:sz w:val="28"/>
          <w:rFonts w:ascii="Times New Roman" w:hAnsi="Times New Roman"/>
        </w:rPr>
        <w:t xml:space="preserve"> sudi tomonidan tayinlangan sud qurilish ekspertizasini xulosasiga asosan uy-joyni ikkiga bo‘lishni imkoni yo‘qligi ko‘rsatilgan. Shundan so‘ng nizoli uyga meni va javobgarni nomiga kadastr hujjatlari tayyorlangan. Lekin uydan har ikkimiz foydalanganimiz yo‘q.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Fuqarolik kodeksining 219-moddasiga ko‘ra, ulushli mulkdagi umumiy mol-mulkka egalik qilish va undan foydalanish uning barcha ishtirokchilari kelishuviga muvofiq amalga oshiriladi. Bunday kelishuvga erishilmagan taqdirda, ulushli mulkdagi umumiy mol-mulkka egalik qilish va undan foydalanish sud tomonidan belgilanadigan tartibda amalga oshiriladi.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Oliy sud Plenumining 2001 yil 14 sentabrdagi “Uy-joy nizolari buyicha sud amaliyoti haqida”gi 22-sonli qarorining </w:t>
        <w:br/>
        <w:t xml:space="preserve">6-bandiga ko‘ra, ulushli mulkdagi uy-joylarni bo‘lishda mulkdorlar o‘zaro kelisha olmagandagina sud tartibida hal qilinadi.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Ulushli yoki umumiy mulkda bo‘lgan uy-joylarni bo‘lishda sudlar, nizoli uy-joyda mavjud bo‘lgan xonalar va foydalanishda bo‘lgan umumiy maydonni hisobga olib, hissa bo‘yicha teng yoki hissadan uncha ko‘p, uncha kam bo‘lmagan holda bo‘lishni, yoxud ayrim xonalarni qayta qurish hisobidan uy-joyni bo‘lish imkoniyati mavjudligi to‘g‘risida tegishli ekspertiza xulosalarini inobatga olishlari zarur. Sud bunday mulkdagi uy-joylarni bo‘lishda taraflarga ajratilgan barcha xona hamda qo‘shimcha va yordamchi imoratlarni o‘z qarorida aniq ko‘rsatishi lozim.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Ulushli mulk sifatida bo‘lgan turar-joylar mulkdorlarga ularning ulushini asl holda ajratib berish o‘rniga boshqa mulkdor tomonidan kompensatsiya to‘lanishiga mulkdorlarning roziligi bilan yo‘l qo‘yiladi. Mulkdorlarning ulushi shu turar-joyga nisbatan boshqa mulkdorning ulushidan ancha kam bo‘lsa, ulushga teng taqsimlashning imkoni bo‘lmasa, mulkdor nizoli uyda yashamayotgan bo‘lsa, u boshqa uy-joy bilan ta’minlangan bo‘lsa, mulkdan foydalanishda katta manfaatga ega bo‘lmagan hollarda sud ushbu mulkdor rozilik bermagan taqdirda ham ulushli mulkning qolgan ishtirokchilari zimmasiga mazkur mulkdorga kompensatsiya to‘lash majburiyatini yuklashi mumkin.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Turar-joyni umumiy egalik ishtirokchilari o‘rtasida ularning hissasi bo‘yicha bo‘lishda alohida yashash xonasidan tashqari yordamchi xonalarni, alohida kirish-chiqish yo‘llari mavjudligini yoki ularni jihozlash yo‘li bilan bo‘lishga imkoniyat bo‘lgan taqdirdagina da’vo qanoatlantirilishi lozim. Bunday imkoniyat bo‘lmagan taqdirda, sud da’vogarning iltimosiga ko‘ra, taraflarga turar-joydan foydalanish tartibini belgilab berishi yoki ushbu turar-joyni taraflar tegishli tartibda almashtirish yoxud ikkinchi tarafga hissasiga teng boshqa turar-joy olib berish huquqiga ega ekanliklarini tushuntirishi lozim.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sz w:val="28"/>
          <w:rFonts w:ascii="Times New Roman" w:hAnsi="Times New Roman"/>
        </w:rPr>
        <w:t xml:space="preserve">Fuqarolik protsessual kodeksining 188, 189-191-moddalari,</w:t>
      </w:r>
      <w:r>
        <w:rPr>
          <w:color w:val="000000"/>
          <w:sz w:val="28"/>
          <w:rFonts w:ascii="Times New Roman" w:hAnsi="Times New Roman"/>
        </w:rPr>
        <w:t xml:space="preserve"> O‘zbekiston Respublikasi Fuqarolik kodeksining 219-moddaciga, </w:t>
      </w:r>
      <w:r>
        <w:rPr>
          <w:sz w:val="28"/>
          <w:rFonts w:ascii="Times New Roman" w:hAnsi="Times New Roman"/>
        </w:rPr>
        <w:t xml:space="preserve">O‘zbekiston Respublikasi Oliy sudi Plenumining 2001 yil 14 sentabrdagi 22-sonli «Uy-joy nizolari bo‘yicha sud amaliyoti haqida»gi qarori va Oliy sudi Plenumning 1997 yil 2 maydagi “Xususiylashtirilgan turar joylarga egalik qilish, ulardan foydalanish va ularni tasarruf qilish bilan bog‘liq ishlar bo‘yicha sud amaliyoti haqida”gi 3-sonli qarorlariga</w:t>
      </w:r>
      <w:r>
        <w:rPr>
          <w:color w:val="000000"/>
          <w:sz w:val="28"/>
          <w:rFonts w:ascii="Times New Roman" w:hAnsi="Times New Roman"/>
        </w:rPr>
        <w:t xml:space="preserve"> asosan</w:t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center"/>
        <w:ind w:firstLine="709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center"/>
        <w:ind w:firstLine="709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Nizoli uy-joyning joylashgan manzili</w:t>
        <w:fldChar w:fldCharType="end"/>
      </w:r>
      <w:r>
        <w:rPr>
          <w:sz w:val="28"/>
          <w:rFonts w:ascii="Times New Roman" w:hAnsi="Times New Roman"/>
        </w:rPr>
        <w:t xml:space="preserve">da joylashgan kadastr raqami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Nizoli uy-joyning kadastr raqami</w:t>
        <w:fldChar w:fldCharType="end"/>
      </w:r>
      <w:r>
        <w:rPr>
          <w:sz w:val="28"/>
          <w:rFonts w:ascii="Times New Roman" w:hAnsi="Times New Roman"/>
        </w:rPr>
        <w:t xml:space="preserve"> bo‘lgan nizoli uydan meni va javobgarning foydalanish tartibini belgilab berishingizni so‘rayman.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Ilova: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arizasiga ilova qilinadigan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b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80"/>
        <w:gridCol w:w="3215"/>
        <w:gridCol w:w="3059"/>
      </w:tblGrid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pStyle w:val="ConsPlusNonformat"/>
        <w:jc w:val="both"/>
        <w:ind w:firstLine="284"/>
        <w:spacing w:line="276" w:lineRule="auto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999"/>
    <w:rsid w:val="00003399"/>
    <w:rsid w:val="00014264"/>
    <w:rsid w:val="000220E0"/>
    <w:rsid w:val="00025CD6"/>
    <w:rsid w:val="000637FD"/>
    <w:rsid w:val="000B73F6"/>
    <w:rsid w:val="000D349A"/>
    <w:rsid w:val="001313F8"/>
    <w:rsid w:val="001B5984"/>
    <w:rsid w:val="001E0C89"/>
    <w:rsid w:val="002516E1"/>
    <w:rsid w:val="00256424"/>
    <w:rsid w:val="002741E4"/>
    <w:rsid w:val="002A137A"/>
    <w:rsid w:val="002D49D1"/>
    <w:rsid w:val="002D7BB2"/>
    <w:rsid w:val="003763F7"/>
    <w:rsid w:val="003D23CB"/>
    <w:rsid w:val="00402840"/>
    <w:rsid w:val="00407A3A"/>
    <w:rsid w:val="00426288"/>
    <w:rsid w:val="0043179E"/>
    <w:rsid w:val="00460FCB"/>
    <w:rsid w:val="00474A71"/>
    <w:rsid w:val="0049617E"/>
    <w:rsid w:val="00516C3E"/>
    <w:rsid w:val="00532DC5"/>
    <w:rsid w:val="00552B13"/>
    <w:rsid w:val="00587E35"/>
    <w:rsid w:val="005C0521"/>
    <w:rsid w:val="005C3CA6"/>
    <w:rsid w:val="005C57C3"/>
    <w:rsid w:val="005E4B44"/>
    <w:rsid w:val="00621999"/>
    <w:rsid w:val="00626718"/>
    <w:rsid w:val="006B197F"/>
    <w:rsid w:val="00741750"/>
    <w:rsid w:val="00744D4E"/>
    <w:rsid w:val="00762409"/>
    <w:rsid w:val="007D7F84"/>
    <w:rsid w:val="007E06D5"/>
    <w:rsid w:val="0081386B"/>
    <w:rsid w:val="0082792C"/>
    <w:rsid w:val="008523D9"/>
    <w:rsid w:val="008570B9"/>
    <w:rsid w:val="00866242"/>
    <w:rsid w:val="00886078"/>
    <w:rsid w:val="008933DB"/>
    <w:rsid w:val="008A2BEF"/>
    <w:rsid w:val="008E2016"/>
    <w:rsid w:val="008F2EDF"/>
    <w:rsid w:val="00914D9E"/>
    <w:rsid w:val="00917EAF"/>
    <w:rsid w:val="00934C02"/>
    <w:rsid w:val="00944419"/>
    <w:rsid w:val="00955222"/>
    <w:rsid w:val="009A60E3"/>
    <w:rsid w:val="009D162D"/>
    <w:rsid w:val="009D2104"/>
    <w:rsid w:val="00A866A4"/>
    <w:rsid w:val="00AC7CF7"/>
    <w:rsid w:val="00AE18D2"/>
    <w:rsid w:val="00AF38BD"/>
    <w:rsid w:val="00B22C0E"/>
    <w:rsid w:val="00B57BFB"/>
    <w:rsid w:val="00B71D72"/>
    <w:rsid w:val="00B809E2"/>
    <w:rsid w:val="00B954CF"/>
    <w:rsid w:val="00C54F22"/>
    <w:rsid w:val="00CA6FAE"/>
    <w:rsid w:val="00CB7642"/>
    <w:rsid w:val="00CD423D"/>
    <w:rsid w:val="00D00E4E"/>
    <w:rsid w:val="00D162B6"/>
    <w:rsid w:val="00D17152"/>
    <w:rsid w:val="00D471A2"/>
    <w:rsid w:val="00D70D46"/>
    <w:rsid w:val="00D7324E"/>
    <w:rsid w:val="00D8302C"/>
    <w:rsid w:val="00D908D3"/>
    <w:rsid w:val="00DF5F6F"/>
    <w:rsid w:val="00E10D56"/>
    <w:rsid w:val="00E13BFF"/>
    <w:rsid w:val="00E22049"/>
    <w:rsid w:val="00E31F55"/>
    <w:rsid w:val="00E33207"/>
    <w:rsid w:val="00E341BF"/>
    <w:rsid w:val="00E94F70"/>
    <w:rsid w:val="00EB3CB3"/>
    <w:rsid w:val="00EE5A7E"/>
    <w:rsid w:val="00F3529C"/>
    <w:rsid w:val="00F550F1"/>
    <w:rsid w:val="00F64483"/>
    <w:rsid w:val="00FC0F37"/>
    <w:rsid w:val="00F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35D4FB-3805-4AA7-A5BC-C49BD8D6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9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C57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313F8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E22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7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6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H61</dc:creator>
  <cp:lastModifiedBy>Shakarboy G'oyibnazarov</cp:lastModifiedBy>
  <cp:revision>2</cp:revision>
  <dcterms:created xsi:type="dcterms:W3CDTF">2024-02-26T10:14:00Z</dcterms:created>
  <dcterms:modified xsi:type="dcterms:W3CDTF">2024-02-26T10:14:00Z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Da’vogar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Da’vogar shaxsning yashash manzili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Da’vogar shaxsning F.I.O.si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Da’vogar tarafning telefon raqami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Da’vogar tarafning elektron pochta manzili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Javobgar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Javobgarning yashash manzili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Javobgarning F.I.O.si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Javobgarning telefon raqami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Javobgarning elektron pochta manzili</w:name>
    <w:value w:hidden="false">
      <w:unit w:active="false"/>
    </w:value>
  </w:element>
  <w:element w:id="17" w:kind="category" w:selector="check" w:type="string" w:valueMode="normal" w:required="false">
    <w:identifier xml:space="preserve">ID17</w:identifier>
    <w:name xml:space="preserve">Ariza mazmuni</w:name>
    <w:value w:hidden="true">
      <w:unit w:active="false"/>
    </w:value>
  </w:element>
  <w:element w:id="18" w:kind="variable" w:selector="check" w:type="string" w:valueMode="normal" w:required="false" w:groupID="17">
    <w:identifier xml:space="preserve">ID18</w:identifier>
    <w:name xml:space="preserve">Da’vogar tomonidan javobgar bilan umumiy mudk bo‘lgan mol-mulkning sotib olingan sana</w:name>
    <w:value w:hidden="false">
      <w:unit w:active="false"/>
    </w:value>
  </w:element>
  <w:element w:id="19" w:kind="variable" w:selector="check" w:type="string" w:valueMode="normal" w:required="false" w:groupID="17">
    <w:identifier xml:space="preserve">ID19</w:identifier>
    <w:name xml:space="preserve">Uy-joyning sotib olingan qismi</w:name>
    <w:value w:hidden="false">
      <w:unit w:active="false"/>
    </w:value>
  </w:element>
  <w:element w:id="20" w:kind="variable" w:selector="check" w:type="string" w:valueMode="normal" w:required="false" w:groupID="17">
    <w:identifier xml:space="preserve">ID20</w:identifier>
    <w:name xml:space="preserve">Nizoni ko‘rib chiqqan sudning nomi</w:name>
    <w:value w:hidden="false">
      <w:unit w:active="false"/>
    </w:value>
  </w:element>
  <w:element w:id="21" w:kind="variable" w:selector="check" w:type="string" w:valueMode="normal" w:required="false" w:groupID="17">
    <w:identifier xml:space="preserve">ID21</w:identifier>
    <w:name xml:space="preserve">Nizoli uy-joyning joylashgan manzili</w:name>
    <w:value w:hidden="false">
      <w:unit w:active="false"/>
    </w:value>
  </w:element>
  <w:element w:id="22" w:kind="variable" w:selector="check" w:type="string" w:valueMode="normal" w:required="false" w:groupID="17">
    <w:identifier xml:space="preserve">ID22</w:identifier>
    <w:name xml:space="preserve">Nizoli uy-joyning kadastr raqami</w:name>
    <w:value w:hidden="false">
      <w:unit w:active="false"/>
    </w:value>
  </w:element>
  <w:element w:id="23" w:kind="variable" w:selector="check" w:type="string" w:valueMode="normal" w:required="false" w:groupID="17">
    <w:identifier xml:space="preserve">ID23</w:identifier>
    <w:name xml:space="preserve">Da’vo arizasiga ilova qilinadigan hujjatlar ro‘yxati</w:name>
    <w:value w:hidden="false">
      <w:unit w:active="false"/>
    </w:value>
  </w:element>
</w:structure>
</file>