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pBdr>
          <w:bottom w:sz="12" w:space="1" w:color="auto" w:val="single"/>
        </w:pBdr>
        <w:rPr>
          <w:b/>
        </w:rPr>
      </w:pPr>
      <w:r>
        <w:rPr>
          <w:b/>
        </w:rPr>
        <w:t xml:space="preserve">Vaqtinchalik ishlaydigan xodimlarni ishga qabul qilish to‘g‘risidagi buyruqdan namuna</w:t>
      </w:r>
    </w:p>
    <w:p>
      <w:pPr>
        <w:jc w:val="center"/>
        <w:ind w:left="3075"/>
        <w:rPr>
          <w:b/>
        </w:rPr>
      </w:pPr>
    </w:p>
    <w:p>
      <w:pPr>
        <w:rPr>
          <w:b/>
        </w:rPr>
      </w:pPr>
    </w:p>
    <w:p>
      <w:pPr>
        <w:jc w:val="center"/>
      </w:pPr>
      <w:r>
        <w:rPr>
          <w:b/>
        </w:rPr>
        <w:t xml:space="preserve">B U Y R U Q</w:t>
      </w:r>
    </w:p>
    <w:p>
      <w:pPr>
        <w:rPr>
          <w:b/>
        </w:rPr>
      </w:pPr>
    </w:p>
    <w:tbl>
      <w:tblPr>
        <w:tblW w:w="0" w:type="auto"/>
      </w:tblPr>
      <w:tblGrid>
        <w:gridCol w:w="3119"/>
        <w:gridCol w:w="3117"/>
        <w:gridCol w:w="3119"/>
      </w:tblGrid>
      <w:tr>
        <w:tc>
          <w:tcPr>
            <w:tcW w:w="3190" w:type="dxa"/>
          </w:tcPr>
          <w:p>
            <w:pPr>
              <w:jc w:val="center"/>
            </w:pPr>
            <w:r>
              <w:rPr>
                <w:vanish w:val="false"/>
              </w:rPr>
              <w:fldChar w:fldCharType="begin"/>
              <w:instrText xml:space="preserve">X {"Y":3}</w:instrText>
              <w:fldChar w:fldCharType="separate"/>
              <w:t xml:space="preserve">Buyruq qabul qilingan sana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3190" w:type="dxa"/>
          </w:tcPr>
          <w:p>
            <w:pPr>
              <w:jc w:val="center"/>
            </w:pPr>
            <w:r>
              <w:rPr>
                <w:vanish w:val="false"/>
              </w:rPr>
              <w:fldChar w:fldCharType="begin"/>
              <w:instrText xml:space="preserve">X {"Y":4}</w:instrText>
              <w:fldChar w:fldCharType="separate"/>
              <w:t xml:space="preserve">Buyruq raqami</w:t>
            </w:r>
            <w:r>
              <w:rPr>
                <w:vanish w:val="false"/>
              </w:rPr>
              <w:fldChar w:fldCharType="end"/>
            </w:r>
            <w:r>
              <w:t xml:space="preserve"> -son</w:t>
            </w:r>
          </w:p>
        </w:tc>
        <w:tc>
          <w:tcPr>
            <w:tcW w:w="3190" w:type="dxa"/>
          </w:tcPr>
          <w:p>
            <w:pPr>
              <w:jc w:val="right"/>
            </w:pPr>
            <w:r>
              <w:rPr>
                <w:vanish w:val="false"/>
              </w:rPr>
              <w:fldChar w:fldCharType="begin"/>
              <w:instrText xml:space="preserve">X {"Y":5}</w:instrText>
              <w:fldChar w:fldCharType="separate"/>
              <w:t xml:space="preserve">Buyruq qabul qilingan joy</w:t>
            </w:r>
            <w:r>
              <w:rPr>
                <w:vanish w:val="false"/>
              </w:rPr>
              <w:fldChar w:fldCharType="end"/>
            </w:r>
            <w:r>
              <w:t xml:space="preserve"> sh.</w:t>
            </w:r>
          </w:p>
        </w:tc>
      </w:tr>
    </w:tbl>
    <w:p>
      <w:pPr>
        <w:rPr>
          <w:b/>
        </w:rPr>
      </w:pPr>
    </w:p>
    <w:p>
      <w:pPr>
        <w:jc w:val="center"/>
        <w:rPr>
          <w:rStyle w:val="clausesuff1"/>
          <w:rFonts w:ascii="Times New Roman" w:hAnsi="Times New Roman"/>
        </w:rPr>
      </w:pPr>
    </w:p>
    <w:p>
      <w:pPr>
        <w:jc w:val="center"/>
        <w:rPr>
          <w:rStyle w:val="clausesuff1"/>
          <w:b/>
          <w:rFonts w:ascii="Times New Roman" w:hAnsi="Times New Roman"/>
        </w:rPr>
      </w:pPr>
      <w:r>
        <w:rPr>
          <w:rStyle w:val="clausesuff1"/>
          <w:b/>
          <w:rFonts w:ascii="Times New Roman" w:hAnsi="Times New Roman"/>
        </w:rPr>
        <w:t xml:space="preserve">Ishga qabul qilish to‘g‘risida</w:t>
      </w:r>
    </w:p>
    <w:p>
      <w:pPr>
        <w:jc w:val="center"/>
        <w:rPr>
          <w:rStyle w:val="clausesuff1"/>
          <w:b/>
          <w:rFonts w:ascii="Times New Roman" w:hAnsi="Times New Roman"/>
        </w:rPr>
      </w:pPr>
    </w:p>
    <w:p>
      <w:pPr>
        <w:ind w:firstLine="425"/>
        <w:spacing w:line="360" w:lineRule="auto"/>
        <w:rPr>
          <w:rStyle w:val="clausesuff1"/>
          <w:rFonts w:ascii="Times New Roman" w:hAnsi="Times New Roman"/>
        </w:rPr>
      </w:pPr>
      <w:r>
        <w:t xml:space="preserve">Tashkilotda mavsumiy ishlar mavjud bo‘lganligi sababli, vaqtinchalik shartnoma imzolagan holda yangi xodimlarni ishga olish zaruriyati vujudga kelmoqda.</w:t>
      </w:r>
    </w:p>
    <w:p>
      <w:pPr>
        <w:ind w:firstLine="425"/>
        <w:spacing w:line="360" w:lineRule="auto"/>
        <w:rPr>
          <w:rStyle w:val="clausesuff1"/>
          <w:rFonts w:ascii="Times New Roman" w:hAnsi="Times New Roman"/>
        </w:rPr>
      </w:pPr>
      <w:r>
        <w:rPr>
          <w:rStyle w:val="clausesuff1"/>
          <w:rFonts w:ascii="Times New Roman" w:hAnsi="Times New Roman"/>
        </w:rPr>
        <w:t xml:space="preserve">Mehnat qonunchiligiga muvofiq uch yildan ko‘p bo‘lmagan muayyan muddatga (muddatli mehnat shartnomasi) tuzilishi mumkinligi belgilangan.</w:t>
      </w:r>
    </w:p>
    <w:p>
      <w:pPr>
        <w:ind w:firstLine="425"/>
        <w:spacing w:line="360" w:lineRule="auto"/>
      </w:pPr>
      <w:r>
        <w:t xml:space="preserve">Mehnat kodeksining 112-moddasida muddatli mehnat shartnomasi quyidagi hollarda tuziladi:</w:t>
      </w:r>
    </w:p>
    <w:p>
      <w:pPr>
        <w:ind w:firstLine="425"/>
        <w:spacing w:line="360" w:lineRule="auto"/>
      </w:pPr>
      <w:r>
        <w:t xml:space="preserve">mehnat to‘g‘risidagi qonunchilikka va mehnat haqidagi boshqa huquqiy hujjatlarga, mehnat shartnomasiga muvofiq ish joyi o‘zida saqlanib qoladigan, yo‘q bo‘lgan xodimning majburiyatlarini bajarish vaqti uchun;</w:t>
      </w:r>
    </w:p>
    <w:p>
      <w:pPr>
        <w:ind w:firstLine="425"/>
        <w:spacing w:line="360" w:lineRule="auto"/>
      </w:pPr>
      <w:r>
        <w:t xml:space="preserve">vaqtinchalik (ikki oygacha) ishlarni bajarish vaqti uchun;</w:t>
      </w:r>
    </w:p>
    <w:p>
      <w:pPr>
        <w:ind w:firstLine="425"/>
        <w:spacing w:line="360" w:lineRule="auto"/>
      </w:pPr>
      <w:r>
        <w:t xml:space="preserve">tabiiy sharoitlar tufayli ish faqat muayyan davr (mavsum) ichida amalga oshirilishi mumkin bo‘lganda mavsumiy ishlarni bajarish uchun;</w:t>
      </w:r>
    </w:p>
    <w:p>
      <w:pPr>
        <w:ind w:firstLine="425"/>
        <w:spacing w:line="360" w:lineRule="auto"/>
      </w:pPr>
      <w:r>
        <w:t xml:space="preserve">ish beruvchining odatdagi faoliyati doirasidan tashqariga chiqadigan ishlarni (rekonstruksiya qilish, montaj qilish, ishga tushirish-sozlash ishlari va boshqa ishlar), shuningdek ishlab chiqarishni yoki ishlar (mahsulot, xizmatlar) hajmini oldindan ma’lum bo‘lgan vaqtinchalik (bir yilgacha) kengaytirish bilan bog‘liq ishlarni bajarish uchun;</w:t>
      </w:r>
    </w:p>
    <w:p>
      <w:pPr>
        <w:ind w:firstLine="425"/>
        <w:spacing w:line="360" w:lineRule="auto"/>
      </w:pPr>
      <w:r>
        <w:t xml:space="preserve">ta’sis hujjatlariga binoan oldindan belgilangan muddatga tashkil etilgan tashkilotlarga ishga kirayotgan shaxslar bilan;</w:t>
      </w:r>
    </w:p>
    <w:p>
      <w:pPr>
        <w:ind w:firstLine="425"/>
        <w:spacing w:line="360" w:lineRule="auto"/>
      </w:pPr>
      <w:r>
        <w:t xml:space="preserve">ishning tamomlanishi aniq sana bilan belgilanishi mumkin bo‘lmagan hollarda muddatli xususiyatga ega bo‘lgan, oldindan belgilangan ishlarni bajarish uchun qabul qilinadigan shaxslar bilan;</w:t>
      </w:r>
    </w:p>
    <w:p>
      <w:pPr>
        <w:ind w:firstLine="425"/>
        <w:spacing w:line="360" w:lineRule="auto"/>
      </w:pPr>
      <w:r>
        <w:t xml:space="preserve">ishlab chiqarishda o‘qitish shartnomasi bilan bevosita bog‘liq bo‘lgan ishlarni bajarish, haq to‘lanadigan ishlab chiqarish amaliyotini yoki stajirovkani o‘tash uchun;</w:t>
      </w:r>
    </w:p>
    <w:p>
      <w:pPr>
        <w:ind w:firstLine="425"/>
        <w:spacing w:line="360" w:lineRule="auto"/>
      </w:pPr>
      <w:r>
        <w:t xml:space="preserve">mehnat organlari tomonidan vaqtinchalik xususiyatga ega bo‘lgan ishlarga yoki haq to‘lanadigan jamoat ishlariga yuborilgan shaxslar bilan;</w:t>
      </w:r>
    </w:p>
    <w:p>
      <w:pPr>
        <w:ind w:firstLine="425"/>
        <w:spacing w:line="360" w:lineRule="auto"/>
      </w:pPr>
      <w:r>
        <w:t xml:space="preserve">muqobil xizmatni o‘tash uchun yuborilgan fuqarolar bilan;</w:t>
      </w:r>
    </w:p>
    <w:p>
      <w:pPr>
        <w:ind w:firstLine="425"/>
        <w:spacing w:line="360" w:lineRule="auto"/>
      </w:pPr>
      <w:r>
        <w:t xml:space="preserve">O‘zbekiston Respublikasiga uning hududida mehnat faoliyatini amalga oshirish uchun qonuniy ravishda kirib kelgan chet el fuqarolari va fuqaroligi bo‘lmagan shaxslar bilan tuziladi.</w:t>
      </w:r>
    </w:p>
    <w:p>
      <w:pPr>
        <w:ind w:firstLine="425"/>
        <w:spacing w:line="360" w:lineRule="auto"/>
      </w:pPr>
      <w:r>
        <w:t xml:space="preserve">Muddatli mehnat shartnomasi mehnat Kodeksiga yoki boshqa qonunga muvofiq o‘zga hollarda ham tuzilishi mumkin.</w:t>
      </w:r>
    </w:p>
    <w:p>
      <w:pPr>
        <w:ind w:firstLine="425"/>
        <w:spacing w:line="360" w:lineRule="auto"/>
      </w:pPr>
      <w:r>
        <w:t xml:space="preserve">O‘zbekiston Respublikasining 110 va 112-moddalariga asoslangan holda, mavsumiy ishchilarga ehtiyojning mavjudligidan kelib chiqib,</w:t>
      </w:r>
    </w:p>
    <w:p>
      <w:pPr>
        <w:jc w:val="center"/>
        <w:spacing w:after="160" w:line="360" w:lineRule="auto"/>
        <w:rPr>
          <w:b/>
        </w:rPr>
      </w:pPr>
      <w:bookmarkStart w:id="0" w:name="_GoBack"/>
      <w:r>
        <w:rPr>
          <w:b/>
        </w:rPr>
        <w:t>BUYURAMAN</w:t>
      </w:r>
      <w:bookmarkEnd w:id="0"/>
    </w:p>
    <w:p>
      <w:pPr>
        <w:ind w:firstLine="709"/>
        <w:spacing w:before="120" w:after="120" w:line="360" w:lineRule="auto"/>
        <w:rPr>
          <w:rStyle w:val="clausesuff1"/>
          <w:rFonts w:ascii="Times New Roman" w:hAnsi="Times New Roman"/>
        </w:rPr>
      </w:pPr>
      <w:r>
        <w:rPr>
          <w:rStyle w:val="clausesuff1"/>
          <w:b/>
          <w:rFonts w:ascii="Times New Roman" w:hAnsi="Times New Roman"/>
        </w:rPr>
        <w:t xml:space="preserve">1. </w:t>
      </w:r>
      <w:r>
        <w:rPr>
          <w:rStyle w:val="clausesuff1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Xodimning F.I.O.si</w:t>
      </w:r>
      <w:r>
        <w:rPr>
          <w:rStyle w:val="clausesuff1"/>
          <w:rFonts w:ascii="Times New Roman" w:hAnsi="Times New Roman"/>
        </w:rPr>
        <w:fldChar w:fldCharType="end"/>
      </w:r>
      <w:r>
        <w:rPr>
          <w:rStyle w:val="clausesuff1"/>
          <w:rFonts w:ascii="Times New Roman" w:hAnsi="Times New Roman"/>
        </w:rPr>
        <w:t xml:space="preserve"> – mavsumiy ishchi lavozimiga muddatli mehnat shartnomasi asosida </w:t>
      </w:r>
      <w:r>
        <w:rPr>
          <w:vanish w:val="false"/>
        </w:rPr>
        <w:fldChar w:fldCharType="begin"/>
        <w:instrText xml:space="preserve">X {"Y":13}</w:instrText>
        <w:fldChar w:fldCharType="separate"/>
        <w:t xml:space="preserve">Xodimning ishni boshlash sanasi</w:t>
      </w:r>
      <w:r>
        <w:rPr>
          <w:vanish w:val="false"/>
        </w:rPr>
        <w:fldChar w:fldCharType="end"/>
      </w:r>
      <w:r>
        <w:rPr>
          <w:rStyle w:val="clausesuff1"/>
          <w:rFonts w:ascii="Times New Roman" w:hAnsi="Times New Roman"/>
        </w:rPr>
        <w:t xml:space="preserve">dan </w:t>
      </w:r>
      <w:r>
        <w:rPr>
          <w:rStyle w:val="clausesuff1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Xodim bilan mehnat shartnomasi bekor qilinadigan sana</w:t>
      </w:r>
      <w:r>
        <w:rPr>
          <w:rStyle w:val="clausesuff1"/>
          <w:rFonts w:ascii="Times New Roman" w:hAnsi="Times New Roman"/>
        </w:rPr>
        <w:fldChar w:fldCharType="end"/>
      </w:r>
      <w:r>
        <w:rPr>
          <w:rStyle w:val="clausesuff1"/>
          <w:rFonts w:ascii="Times New Roman" w:hAnsi="Times New Roman"/>
        </w:rPr>
        <w:t xml:space="preserve">gacha bo‘lgan muddatga ishga qabul qilinsin.</w:t>
      </w:r>
    </w:p>
    <w:p>
      <w:pPr>
        <w:ind w:firstLine="709"/>
        <w:spacing w:before="120" w:after="120"/>
      </w:pPr>
      <w:r>
        <w:rPr>
          <w:b/>
        </w:rPr>
        <w:t>2. </w:t>
      </w:r>
      <w:r>
        <w:t xml:space="preserve">Moliya iqtisod bo‘limi </w:t>
      </w:r>
      <w:r>
        <w:rPr>
          <w:rStyle w:val="clausesuff1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Moliya iqtisod bo‘limi ma’sul xodimi</w:t>
      </w:r>
      <w:r>
        <w:rPr>
          <w:rStyle w:val="clausesuff1"/>
          <w:rFonts w:ascii="Times New Roman" w:hAnsi="Times New Roman"/>
        </w:rPr>
        <w:fldChar w:fldCharType="end"/>
      </w:r>
      <w:r>
        <w:t xml:space="preserve"> </w:t>
      </w:r>
      <w:r>
        <w:rPr>
          <w:rStyle w:val="clausesuff1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Xodimning F.I.O.si</w:t>
      </w:r>
      <w:r>
        <w:rPr>
          <w:rStyle w:val="clausesuff1"/>
          <w:rFonts w:ascii="Times New Roman" w:hAnsi="Times New Roman"/>
        </w:rPr>
        <w:fldChar w:fldCharType="end"/>
      </w:r>
      <w:r>
        <w:t>ga</w:t>
      </w:r>
      <w:r>
        <w:rPr>
          <w:rStyle w:val="clausesuff1"/>
          <w:rFonts w:ascii="Times New Roman" w:hAnsi="Times New Roman"/>
        </w:rPr>
        <w:t xml:space="preserve"> </w:t>
      </w:r>
      <w:r>
        <w:t xml:space="preserve">tegishli to‘lovlarni amalga oshirsin.</w:t>
      </w:r>
    </w:p>
    <w:p>
      <w:pPr>
        <w:ind w:firstLine="708"/>
      </w:pPr>
    </w:p>
    <w:p>
      <w:pPr>
        <w:ind w:firstLine="708"/>
      </w:pPr>
      <w:r>
        <w:rPr>
          <w:b/>
        </w:rPr>
        <w:t>Asos:</w:t>
      </w:r>
      <w:r>
        <w:t xml:space="preserve"> </w:t>
      </w:r>
      <w:r>
        <w:rPr>
          <w:rStyle w:val="clausesuff1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Buyruqni asoslantiruvchi hujjatlar ro‘yxati</w:t>
      </w:r>
      <w:r>
        <w:rPr>
          <w:rStyle w:val="clausesuff1"/>
          <w:rFonts w:ascii="Times New Roman" w:hAnsi="Times New Roman"/>
        </w:rPr>
        <w:fldChar w:fldCharType="end"/>
      </w:r>
    </w:p>
    <w:p>
      <w:pPr>
        <w:jc w:val="center"/>
        <w:rPr>
          <w:b/>
        </w:rPr>
      </w:pPr>
    </w:p>
    <w:tbl>
      <w:tblPr>
        <w:tblW w:w="0" w:type="auto"/>
      </w:tblPr>
      <w:tblGrid>
        <w:gridCol w:w="4001"/>
        <w:gridCol w:w="2723"/>
        <w:gridCol w:w="2631"/>
      </w:tblGrid>
      <w:tr>
        <w:tc>
          <w:tcPr>
            <w:tcW w:w="4126" w:type="dxa"/>
          </w:tcPr>
          <w:p>
            <w:pPr>
              <w:jc w:val="center"/>
            </w:pPr>
            <w:r>
              <w:rPr>
                <w:vanish w:val="false"/>
              </w:rPr>
              <w:fldChar w:fldCharType="begin"/>
              <w:instrText xml:space="preserve">X {"Y":7}</w:instrText>
              <w:fldChar w:fldCharType="separate"/>
              <w:t xml:space="preserve">Tashkilot rahbarining lavozimi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2757" w:type="dxa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>_____________</w:t>
            </w:r>
          </w:p>
          <w:p>
            <w:pPr>
              <w:jc w:val="center"/>
            </w:pPr>
          </w:p>
        </w:tc>
        <w:tc>
          <w:tcPr>
            <w:tcW w:w="2687" w:type="dxa"/>
          </w:tcPr>
          <w:p>
            <w:pPr>
              <w:jc w:val="right"/>
            </w:pPr>
            <w:r>
              <w:rPr>
                <w:vanish w:val="false"/>
              </w:rPr>
              <w:fldChar w:fldCharType="begin"/>
              <w:instrText xml:space="preserve">X {"Y":8}</w:instrText>
              <w:fldChar w:fldCharType="separate"/>
              <w:t xml:space="preserve">Tashkilot rahbarining F.I.O.si</w:t>
            </w:r>
            <w:r>
              <w:rPr>
                <w:vanish w:val="false"/>
              </w:rPr>
              <w:fldChar w:fldCharType="end"/>
            </w:r>
          </w:p>
        </w:tc>
      </w:tr>
      <w:tr>
        <w:tc>
          <w:tcPr>
            <w:tcW w:w="4126" w:type="dxa"/>
          </w:tcPr>
          <w:p>
            <w:pPr>
              <w:jc w:val="right"/>
              <w:rPr>
                <w:b/>
              </w:rPr>
            </w:pPr>
          </w:p>
        </w:tc>
        <w:tc>
          <w:tcPr>
            <w:tcW w:w="2757" w:type="dxa"/>
          </w:tcPr>
          <w:p>
            <w:pPr>
              <w:jc w:val="center"/>
              <w:rPr>
                <w:b/>
              </w:rPr>
            </w:pPr>
          </w:p>
        </w:tc>
        <w:tc>
          <w:tcPr>
            <w:tcW w:w="2687" w:type="dxa"/>
          </w:tcPr>
          <w:p>
            <w:pPr>
              <w:jc w:val="right"/>
            </w:pPr>
          </w:p>
        </w:tc>
      </w:tr>
      <w:tr>
        <w:tc>
          <w:tcPr>
            <w:tcW w:w="4126" w:type="dxa"/>
          </w:tcPr>
          <w:p>
            <w:pPr>
              <w:rPr>
                <w:b/>
              </w:rPr>
            </w:pPr>
            <w:r>
              <w:rPr>
                <w:b/>
              </w:rPr>
              <w:t xml:space="preserve">Buyruq bilan tanishdim </w:t>
            </w:r>
            <w:r>
              <w:rPr>
                <w:vanish w:val="false"/>
              </w:rPr>
              <w:fldChar w:fldCharType="begin"/>
              <w:instrText xml:space="preserve">X {"Y":9}</w:instrText>
              <w:fldChar w:fldCharType="separate"/>
              <w:t xml:space="preserve">Xodimning lavozimi</w:t>
            </w:r>
            <w:r>
              <w:rPr>
                <w:vanish w:val="false"/>
              </w:rPr>
              <w:fldChar w:fldCharType="end"/>
            </w:r>
          </w:p>
        </w:tc>
        <w:tc>
          <w:tcPr>
            <w:tcW w:w="2757" w:type="dxa"/>
          </w:tcPr>
          <w:p>
            <w:pPr>
              <w:jc w:val="center"/>
              <w:rPr>
                <w:b/>
              </w:rPr>
            </w:pP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_____________</w:t>
            </w:r>
          </w:p>
          <w:p>
            <w:pPr>
              <w:jc w:val="center"/>
            </w:pPr>
          </w:p>
        </w:tc>
        <w:tc>
          <w:tcPr>
            <w:tcW w:w="2687" w:type="dxa"/>
          </w:tcPr>
          <w:p>
            <w:pPr>
              <w:jc w:val="right"/>
            </w:pPr>
          </w:p>
          <w:p>
            <w:pPr>
              <w:jc w:val="right"/>
            </w:pPr>
            <w:r>
              <w:rPr>
                <w:vanish w:val="false"/>
              </w:rPr>
              <w:fldChar w:fldCharType="begin"/>
              <w:instrText xml:space="preserve">X {"Y":10}</w:instrText>
              <w:fldChar w:fldCharType="separate"/>
              <w:t xml:space="preserve">Xodimning F.I.O.si</w:t>
            </w:r>
            <w:r>
              <w:rPr>
                <w:vanish w:val="false"/>
              </w:rPr>
              <w:fldChar w:fldCharType="end"/>
            </w:r>
          </w:p>
        </w:tc>
      </w:tr>
    </w:tbl>
    <w:p/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3A9"/>
    <w:rsid w:val="000732AA"/>
    <w:rsid w:val="000A338B"/>
    <w:rsid w:val="002B62D1"/>
    <w:rsid w:val="00436C8C"/>
    <w:rsid w:val="00490201"/>
    <w:rsid w:val="005534C4"/>
    <w:rsid w:val="00615901"/>
    <w:rsid w:val="006170A1"/>
    <w:rsid w:val="006B7C8F"/>
    <w:rsid w:val="00743D84"/>
    <w:rsid w:val="00756750"/>
    <w:rsid w:val="00764C28"/>
    <w:rsid w:val="008D1A23"/>
    <w:rsid w:val="00A14925"/>
    <w:rsid w:val="00C4599F"/>
    <w:rsid w:val="00D044C3"/>
    <w:rsid w:val="00E023A9"/>
    <w:rsid w:val="00E7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2FB04B-B798-46C2-AFB1-3C2CDA6AB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C8F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lausesuff1">
    <w:name w:val="clausesuff1"/>
    <w:rsid w:val="006B7C8F"/>
    <w:rPr>
      <w:rFonts w:ascii="Calibri" w:eastAsia="Calibri" w:hAnsi="Calibri" w:cs="Times New Roman"/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05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7159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4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961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713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61855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15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4583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49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214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7903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310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804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3670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091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2368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365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G'oyibnazarov</dc:creator>
  <cp:keywords/>
  <dc:description/>
  <cp:lastModifiedBy>Shakarboy G'oyibnazarov</cp:lastModifiedBy>
  <cp:revision>2</cp:revision>
  <dcterms:created xsi:type="dcterms:W3CDTF">2024-02-27T05:04:00Z</dcterms:created>
  <dcterms:modified xsi:type="dcterms:W3CDTF">2024-02-27T05:04:00Z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Vaqtinchalik ishlaydigan xodimlarni ishga qabul qilish to‘g‘risidagi buyruq rekvizitlari</w:name>
    <w:value w:hidden="true">
      <w:unit w:active="false"/>
    </w:value>
  </w:element>
  <w:element w:id="3" w:kind="variable" w:selector="check" w:type="date" w:valueMode="normal" w:required="false" w:groupID="1">
    <w:identifier xml:space="preserve">ID3</w:identifier>
    <w:name xml:space="preserve">Buyruq qabul qilingan sana</w:name>
    <w:comment xml:space="preserve"/>
    <w:value w:hidden="false">
      <w:unit w:active="false"/>
    </w:value>
  </w:element>
  <w:element w:id="4" w:kind="variable" w:selector="check" w:type="number" w:valueMode="normal" w:required="false" w:groupID="1">
    <w:identifier xml:space="preserve">ID4</w:identifier>
    <w:name xml:space="preserve">Buyruq raqami</w:name>
    <w:comment xml:space="preserve"/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Buyruq qabul qilingan joy</w:name>
    <w:comment xml:space="preserve">(қўлда тўлдирилади)
</w:comment>
    <w:value w:hidden="false">
      <w:unit w:active="false"/>
    </w:value>
  </w:element>
  <w:element w:id="6" w:kind="category" w:selector="check" w:type="string" w:valueMode="normal" w:required="false">
    <w:identifier xml:space="preserve">ID6</w:identifier>
    <w:name xml:space="preserve">Taraflar</w:name>
    <w:value w:hidden="true">
      <w:unit w:active="false"/>
    </w:value>
  </w:element>
  <w:element w:id="7" w:kind="variable" w:selector="check" w:type="string" w:valueMode="normal" w:required="false" w:groupID="6">
    <w:identifier xml:space="preserve">ID7</w:identifier>
    <w:name xml:space="preserve">Tashkilot rahbarining lavozimi</w:name>
    <w:value w:hidden="false">
      <w:unit w:active="false"/>
    </w:value>
  </w:element>
  <w:element w:id="8" w:kind="variable" w:selector="check" w:type="string" w:valueMode="normal" w:required="false" w:groupID="6">
    <w:identifier xml:space="preserve">ID8</w:identifier>
    <w:name xml:space="preserve">Tashkilot rahbarining F.I.O.si</w:name>
    <w:value w:hidden="false">
      <w:unit w:active="false"/>
    </w:value>
  </w:element>
  <w:element w:id="9" w:kind="variable" w:selector="check" w:type="string" w:valueMode="normal" w:required="false" w:groupID="6">
    <w:identifier xml:space="preserve">ID9</w:identifier>
    <w:name xml:space="preserve">Xodimning lavozimi</w:name>
    <w:value w:hidden="false">
      <w:unit w:active="false"/>
    </w:value>
  </w:element>
  <w:element w:id="10" w:kind="variable" w:selector="check" w:type="string" w:valueMode="normal" w:required="false" w:groupID="6">
    <w:identifier xml:space="preserve">ID10</w:identifier>
    <w:name xml:space="preserve">Xodimning F.I.O.si</w:name>
    <w:value w:hidden="false">
      <w:unit w:active="false"/>
    </w:value>
  </w:element>
  <w:element w:id="12" w:kind="category" w:selector="check" w:type="string" w:valueMode="normal" w:required="false" w:groupID="">
    <w:identifier xml:space="preserve">ID12</w:identifier>
    <w:name xml:space="preserve">Buyruq mazmuni</w:name>
    <w:value w:hidden="true">
      <w:unit w:active="false"/>
    </w:value>
  </w:element>
  <w:element w:id="13" w:kind="variable" w:selector="check" w:type="string" w:valueMode="normal" w:required="false" w:groupID="12">
    <w:identifier xml:space="preserve">ID13</w:identifier>
    <w:name xml:space="preserve">Xodimning ishni boshlash sanasi</w:name>
    <w:value w:hidden="false">
      <w:unit w:active="false"/>
    </w:value>
  </w:element>
  <w:element w:id="14" w:kind="variable" w:selector="check" w:type="string" w:valueMode="normal" w:required="false" w:groupID="12">
    <w:identifier xml:space="preserve">ID14</w:identifier>
    <w:name xml:space="preserve">Xodim bilan mehnat shartnomasi bekor qilinadigan sana</w:name>
    <w:value w:hidden="false">
      <w:unit w:active="false"/>
    </w:value>
  </w:element>
  <w:element w:id="15" w:kind="variable" w:selector="check" w:type="string" w:valueMode="normal" w:required="false" w:groupID="12">
    <w:identifier xml:space="preserve">ID15</w:identifier>
    <w:name xml:space="preserve">Moliya iqtisod bo‘limi ma’sul xodimi</w:name>
    <w:value w:hidden="false">
      <w:unit w:active="false"/>
    </w:value>
  </w:element>
  <w:element w:id="16" w:kind="variable" w:selector="check" w:type="string" w:valueMode="normal" w:required="false" w:groupID="12">
    <w:identifier xml:space="preserve">ID16</w:identifier>
    <w:name xml:space="preserve">Buyruqni asoslantiruvchi hujjatlar ro‘yxati</w:name>
    <w:value w:hidden="false">
      <w:unit w:active="false"/>
    </w:value>
  </w:element>
</w:structure>
</file>