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Daʻvo arizasi berilayotgan sudning nomi</w:t>
        <w:fldChar w:fldCharType="end"/>
      </w:r>
      <w:r>
        <w:rPr>
          <w:b/>
          <w:sz w:val="27"/>
          <w:rFonts w:ascii="Times New Roman" w:hAnsi="Times New Roman"/>
        </w:rPr>
        <w:t>ga</w:t>
      </w:r>
    </w:p>
    <w:p>
      <w:pPr>
        <w:pStyle w:val="1"/>
        <w:jc w:val="right"/>
        <w:tabs>
          <w:tab w:val="left" w:pos="4301" w:leader="underscore"/>
        </w:tabs>
        <w:rPr>
          <w:rStyle w:val="a3"/>
          <w:sz w:val="26"/>
          <w:rFonts w:ascii="Times New Roman" w:hAnsi="Times New Roman"/>
        </w:rPr>
      </w:pPr>
      <w:r>
        <w:rPr>
          <w:rStyle w:val="a3"/>
          <w:b/>
          <w:sz w:val="26"/>
          <w:rFonts w:ascii="Times New Roman" w:hAnsi="Times New Roman"/>
        </w:rPr>
        <w:t xml:space="preserve">Daʻvogar: </w:t>
      </w:r>
      <w:r>
        <w:rPr>
          <w:rStyle w:val="a3"/>
          <w:vanish w:val="false"/>
          <w:sz w:val="26"/>
          <w:rFonts w:ascii="Times New Roman" w:hAnsi="Times New Roman"/>
        </w:rPr>
        <w:fldChar w:fldCharType="begin"/>
        <w:instrText xml:space="preserve">X {"Y":5}</w:instrText>
        <w:fldChar w:fldCharType="separate"/>
      </w:r>
      <w:r>
        <w:rPr>
          <w:rStyle w:val="a3"/>
          <w:vanish w:val="false"/>
          <w:sz w:val="26"/>
          <w:rFonts w:ascii="Times New Roman" w:hAnsi="Times New Roman"/>
        </w:rPr>
        <w:t xml:space="preserve">Daʻvogarning F.I.Osi</w:t>
        <w:fldChar w:fldCharType="end"/>
      </w:r>
    </w:p>
    <w:p>
      <w:pPr>
        <w:pStyle w:val="1"/>
        <w:jc w:val="right"/>
        <w:tabs>
          <w:tab w:val="left" w:pos="4301" w:leader="underscore"/>
        </w:tabs>
        <w:rPr>
          <w:rStyle w:val="a3"/>
          <w:sz w:val="26"/>
          <w:rFonts w:ascii="Times New Roman" w:hAnsi="Times New Roman"/>
        </w:rPr>
      </w:pPr>
      <w:r>
        <w:rPr>
          <w:rStyle w:val="a3"/>
          <w:vanish w:val="false"/>
          <w:sz w:val="26"/>
          <w:rFonts w:ascii="Times New Roman" w:hAnsi="Times New Roman"/>
        </w:rPr>
        <w:fldChar w:fldCharType="begin"/>
        <w:instrText xml:space="preserve">X {"Y":6}</w:instrText>
        <w:fldChar w:fldCharType="separate"/>
      </w:r>
      <w:r>
        <w:rPr>
          <w:rStyle w:val="a3"/>
          <w:vanish w:val="false"/>
          <w:sz w:val="26"/>
          <w:rFonts w:ascii="Times New Roman" w:hAnsi="Times New Roman"/>
        </w:rPr>
        <w:t xml:space="preserve"> Daʻvogarning doimiy yashash manzili</w:t>
        <w:fldChar w:fldCharType="end"/>
      </w:r>
    </w:p>
    <w:p>
      <w:pPr>
        <w:pStyle w:val="1"/>
        <w:jc w:val="right"/>
        <w:tabs>
          <w:tab w:val="left" w:pos="4301" w:leader="underscore"/>
        </w:tabs>
        <w:rPr>
          <w:rStyle w:val="a3"/>
          <w:sz w:val="26"/>
          <w:rFonts w:ascii="Times New Roman" w:hAnsi="Times New Roman"/>
        </w:rPr>
      </w:pPr>
      <w:r>
        <w:rPr>
          <w:rStyle w:val="a3"/>
          <w:vanish w:val="false"/>
          <w:sz w:val="26"/>
          <w:rFonts w:ascii="Times New Roman" w:hAnsi="Times New Roman"/>
        </w:rPr>
        <w:fldChar w:fldCharType="begin"/>
        <w:instrText xml:space="preserve">X {"Y":7}</w:instrText>
        <w:fldChar w:fldCharType="separate"/>
      </w:r>
      <w:r>
        <w:rPr>
          <w:rStyle w:val="a3"/>
          <w:vanish w:val="false"/>
          <w:sz w:val="26"/>
          <w:rFonts w:ascii="Times New Roman" w:hAnsi="Times New Roman"/>
        </w:rPr>
        <w:t xml:space="preserve">Daʻvogarning telefon raqami</w:t>
        <w:fldChar w:fldCharType="end"/>
      </w:r>
    </w:p>
    <w:p>
      <w:pPr>
        <w:pStyle w:val="1"/>
        <w:jc w:val="right"/>
        <w:tabs>
          <w:tab w:val="left" w:pos="4301" w:leader="underscore"/>
        </w:tabs>
        <w:rPr>
          <w:rStyle w:val="a3"/>
          <w:sz w:val="26"/>
          <w:rFonts w:ascii="Times New Roman" w:hAnsi="Times New Roman"/>
        </w:rPr>
      </w:pPr>
      <w:r>
        <w:rPr>
          <w:rStyle w:val="a3"/>
          <w:vanish w:val="false"/>
          <w:sz w:val="26"/>
          <w:rFonts w:ascii="Times New Roman" w:hAnsi="Times New Roman"/>
        </w:rPr>
        <w:fldChar w:fldCharType="begin"/>
        <w:instrText xml:space="preserve">X {"Y":8}</w:instrText>
        <w:fldChar w:fldCharType="separate"/>
      </w:r>
      <w:r>
        <w:rPr>
          <w:rStyle w:val="a3"/>
          <w:vanish w:val="false"/>
          <w:sz w:val="26"/>
          <w:rFonts w:ascii="Times New Roman" w:hAnsi="Times New Roman"/>
        </w:rPr>
        <w:t xml:space="preserve">Daʻvogarning elektron manzili</w:t>
        <w:fldChar w:fldCharType="end"/>
      </w:r>
    </w:p>
    <w:p>
      <w:pPr>
        <w:pStyle w:val="1"/>
        <w:jc w:val="right"/>
        <w:tabs>
          <w:tab w:val="left" w:pos="4301" w:leader="underscore"/>
        </w:tabs>
        <w:rPr>
          <w:rStyle w:val="a3"/>
          <w:sz w:val="26"/>
          <w:rFonts w:ascii="Times New Roman" w:hAnsi="Times New Roman"/>
        </w:rPr>
      </w:pPr>
      <w:r>
        <w:rPr>
          <w:rStyle w:val="a3"/>
          <w:b/>
          <w:sz w:val="26"/>
          <w:rFonts w:ascii="Times New Roman" w:hAnsi="Times New Roman"/>
        </w:rPr>
        <w:t xml:space="preserve">Javobgar: </w:t>
      </w:r>
      <w:r>
        <w:rPr>
          <w:rStyle w:val="a3"/>
          <w:vanish w:val="false"/>
          <w:sz w:val="26"/>
          <w:rFonts w:ascii="Times New Roman" w:hAnsi="Times New Roman"/>
        </w:rPr>
        <w:fldChar w:fldCharType="begin"/>
        <w:instrText xml:space="preserve">X {"Y":9}</w:instrText>
        <w:fldChar w:fldCharType="separate"/>
      </w:r>
      <w:r>
        <w:rPr>
          <w:rStyle w:val="a3"/>
          <w:vanish w:val="false"/>
          <w:sz w:val="26"/>
          <w:rFonts w:ascii="Times New Roman" w:hAnsi="Times New Roman"/>
        </w:rPr>
        <w:t xml:space="preserve">Javobgar tashkilotning nomi</w:t>
        <w:fldChar w:fldCharType="end"/>
      </w:r>
    </w:p>
    <w:p>
      <w:pPr>
        <w:pStyle w:val="1"/>
        <w:jc w:val="right"/>
        <w:tabs>
          <w:tab w:val="left" w:pos="4301" w:leader="underscore"/>
        </w:tabs>
        <w:rPr>
          <w:rStyle w:val="a3"/>
          <w:sz w:val="26"/>
          <w:rFonts w:ascii="Times New Roman" w:hAnsi="Times New Roman"/>
        </w:rPr>
      </w:pPr>
      <w:r>
        <w:rPr>
          <w:rStyle w:val="a3"/>
          <w:vanish w:val="false"/>
          <w:sz w:val="26"/>
          <w:rFonts w:ascii="Times New Roman" w:hAnsi="Times New Roman"/>
        </w:rPr>
        <w:fldChar w:fldCharType="begin"/>
        <w:instrText xml:space="preserve">X {"Y":10}</w:instrText>
        <w:fldChar w:fldCharType="separate"/>
      </w:r>
      <w:r>
        <w:rPr>
          <w:rStyle w:val="a3"/>
          <w:vanish w:val="false"/>
          <w:sz w:val="26"/>
          <w:rFonts w:ascii="Times New Roman" w:hAnsi="Times New Roman"/>
        </w:rPr>
        <w:t xml:space="preserve">Javobgarning manzili</w:t>
        <w:fldChar w:fldCharType="end"/>
      </w:r>
    </w:p>
    <w:p>
      <w:pPr>
        <w:pStyle w:val="1"/>
        <w:jc w:val="right"/>
        <w:tabs>
          <w:tab w:val="left" w:pos="4301" w:leader="underscore"/>
        </w:tabs>
        <w:rPr>
          <w:rStyle w:val="a3"/>
          <w:sz w:val="26"/>
          <w:rFonts w:ascii="Times New Roman" w:hAnsi="Times New Roman"/>
        </w:rPr>
      </w:pPr>
      <w:r>
        <w:rPr>
          <w:rStyle w:val="a3"/>
          <w:vanish w:val="false"/>
          <w:sz w:val="26"/>
          <w:rFonts w:ascii="Times New Roman" w:hAnsi="Times New Roman"/>
        </w:rPr>
        <w:fldChar w:fldCharType="begin"/>
        <w:instrText xml:space="preserve">X {"Y":11}</w:instrText>
        <w:fldChar w:fldCharType="separate"/>
      </w:r>
      <w:r>
        <w:rPr>
          <w:rStyle w:val="a3"/>
          <w:vanish w:val="false"/>
          <w:sz w:val="26"/>
          <w:rFonts w:ascii="Times New Roman" w:hAnsi="Times New Roman"/>
        </w:rPr>
        <w:t xml:space="preserve">Javobgarning STIR raqami</w:t>
        <w:fldChar w:fldCharType="end"/>
      </w:r>
    </w:p>
    <w:p>
      <w:pPr>
        <w:pStyle w:val="1"/>
        <w:jc w:val="right"/>
        <w:tabs>
          <w:tab w:val="left" w:pos="4301" w:leader="underscore"/>
        </w:tabs>
        <w:rPr>
          <w:rStyle w:val="a3"/>
          <w:sz w:val="26"/>
          <w:rFonts w:ascii="Times New Roman" w:hAnsi="Times New Roman"/>
        </w:rPr>
      </w:pPr>
      <w:r>
        <w:rPr>
          <w:rStyle w:val="a3"/>
          <w:vanish w:val="false"/>
          <w:sz w:val="26"/>
          <w:rFonts w:ascii="Times New Roman" w:hAnsi="Times New Roman"/>
        </w:rPr>
        <w:fldChar w:fldCharType="begin"/>
        <w:instrText xml:space="preserve">X {"Y":12}</w:instrText>
        <w:fldChar w:fldCharType="separate"/>
      </w:r>
      <w:r>
        <w:rPr>
          <w:rStyle w:val="a3"/>
          <w:vanish w:val="false"/>
          <w:sz w:val="26"/>
          <w:rFonts w:ascii="Times New Roman" w:hAnsi="Times New Roman"/>
        </w:rPr>
        <w:t xml:space="preserve">Javobgarning telefon raqami</w:t>
        <w:fldChar w:fldCharType="end"/>
      </w:r>
    </w:p>
    <w:p>
      <w:pPr>
        <w:pStyle w:val="1"/>
        <w:jc w:val="right"/>
        <w:tabs>
          <w:tab w:val="left" w:pos="4301" w:leader="underscore"/>
        </w:tabs>
        <w:rPr>
          <w:rStyle w:val="a3"/>
          <w:sz w:val="26"/>
          <w:rFonts w:ascii="Times New Roman" w:hAnsi="Times New Roman"/>
        </w:rPr>
      </w:pPr>
      <w:r>
        <w:rPr>
          <w:rStyle w:val="a3"/>
          <w:vanish w:val="false"/>
          <w:sz w:val="26"/>
          <w:rFonts w:ascii="Times New Roman" w:hAnsi="Times New Roman"/>
        </w:rPr>
        <w:fldChar w:fldCharType="begin"/>
        <w:instrText xml:space="preserve">X {"Y":13}</w:instrText>
        <w:fldChar w:fldCharType="separate"/>
      </w:r>
      <w:r>
        <w:rPr>
          <w:rStyle w:val="a3"/>
          <w:vanish w:val="false"/>
          <w:sz w:val="26"/>
          <w:rFonts w:ascii="Times New Roman" w:hAnsi="Times New Roman"/>
        </w:rPr>
        <w:t xml:space="preserve">Javobgarning elektron manzili</w:t>
        <w:fldChar w:fldCharType="end"/>
      </w:r>
    </w:p>
    <w:p>
      <w:pPr>
        <w:jc w:val="both"/>
        <w:ind w:left="3969"/>
        <w:spacing w:after="0" w:line="240" w:lineRule="auto"/>
        <w:rPr>
          <w:sz w:val="26"/>
          <w:rFonts w:ascii="Times New Roman" w:hAnsi="Times New Roman"/>
        </w:rPr>
      </w:pPr>
    </w:p>
    <w:p>
      <w:pPr>
        <w:jc w:val="both"/>
        <w:ind w:left="3969" w:hanging="1845"/>
        <w:spacing w:after="0" w:line="240" w:lineRule="auto"/>
        <w:rPr>
          <w:sz w:val="26"/>
          <w:rFonts w:ascii="Times New Roman" w:hAnsi="Times New Roman"/>
        </w:rPr>
      </w:pPr>
    </w:p>
    <w:p>
      <w:pPr>
        <w:jc w:val="center"/>
        <w:spacing w:after="0"/>
        <w:rPr>
          <w:b/>
          <w:sz w:val="26"/>
          <w:rFonts w:ascii="Times New Roman" w:hAnsi="Times New Roman"/>
        </w:rPr>
      </w:pPr>
      <w:r>
        <w:rPr>
          <w:b/>
          <w:sz w:val="26"/>
          <w:rFonts w:ascii="Times New Roman" w:hAnsi="Times New Roman"/>
        </w:rPr>
        <w:t xml:space="preserve">DAʼVO ARIZA</w:t>
      </w:r>
    </w:p>
    <w:p>
      <w:pPr>
        <w:jc w:val="center"/>
        <w:spacing w:after="0"/>
        <w:rPr>
          <w:b/>
          <w:sz w:val="26"/>
          <w:rFonts w:ascii="Times New Roman" w:hAnsi="Times New Roman"/>
        </w:rPr>
      </w:pPr>
      <w:r>
        <w:rPr>
          <w:sz w:val="26"/>
          <w:rFonts w:ascii="Times New Roman" w:hAnsi="Times New Roman"/>
        </w:rPr>
        <w:t xml:space="preserve">(Xizmat tekshiruvi komissiyasining harakatlarini gʻayriqonuniy deb topish hamda xodimni avvalgi lavozimiga tiklash to‘g‘risida)</w:t>
      </w:r>
    </w:p>
    <w:p>
      <w:pPr>
        <w:spacing w:after="0"/>
        <w:rPr>
          <w:sz w:val="26"/>
          <w:rFonts w:ascii="Times New Roman" w:hAnsi="Times New Roman"/>
        </w:rPr>
      </w:pPr>
    </w:p>
    <w:p>
      <w:pPr>
        <w:jc w:val="both"/>
        <w:spacing w:after="0" w:line="240" w:lineRule="auto"/>
        <w:rPr>
          <w:sz w:val="26"/>
          <w:rFonts w:ascii="Times New Roman" w:hAnsi="Times New Roman"/>
        </w:rPr>
      </w:pPr>
      <w:r>
        <w:rPr>
          <w:sz w:val="26"/>
          <w:rFonts w:ascii="Times New Roman" w:hAnsi="Times New Roman"/>
        </w:rPr>
        <w:tab/>
        <w:t xml:space="preserve">Daʼvogar </w:t>
      </w:r>
      <w:r>
        <w:rPr>
          <w:b/>
          <w:vanish w:val="false"/>
          <w:sz w:val="26"/>
          <w:rFonts w:ascii="Times New Roman" w:hAnsi="Times New Roman"/>
        </w:rPr>
        <w:fldChar w:fldCharType="begin"/>
        <w:instrText xml:space="preserve">X {"Y":5}</w:instrText>
        <w:fldChar w:fldCharType="separate"/>
      </w:r>
      <w:r>
        <w:rPr>
          <w:b/>
          <w:vanish w:val="false"/>
          <w:sz w:val="26"/>
          <w:rFonts w:ascii="Times New Roman" w:hAnsi="Times New Roman"/>
        </w:rPr>
        <w:t xml:space="preserve">Daʻvogarning F.I.Osi</w:t>
        <w:fldChar w:fldCharType="end"/>
      </w:r>
      <w:r>
        <w:rPr>
          <w:b/>
          <w:sz w:val="26"/>
          <w:rFonts w:ascii="Times New Roman" w:hAnsi="Times New Roman"/>
        </w:rPr>
        <w:t xml:space="preserve"> </w:t>
      </w:r>
      <w:r>
        <w:rPr>
          <w:sz w:val="26"/>
          <w:rFonts w:ascii="Times New Roman" w:hAnsi="Times New Roman"/>
        </w:rPr>
        <w:t xml:space="preserve">bilan tuzilgan mehnat shartnomasi javobgar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tomonidan  </w:t>
      </w:r>
      <w:r>
        <w:rPr>
          <w:sz w:val="26"/>
          <w:rFonts w:ascii="Times New Roman" w:hAnsi="Times New Roman"/>
        </w:rPr>
        <w:fldChar w:fldCharType="begin"/>
        <w:instrText xml:space="preserve">X {"Y":15}</w:instrText>
        <w:fldChar w:fldCharType="separate"/>
      </w:r>
      <w:r>
        <w:rPr>
          <w:sz w:val="26"/>
          <w:rFonts w:ascii="Times New Roman" w:hAnsi="Times New Roman"/>
        </w:rPr>
        <w:t xml:space="preserve">Da’vogar bilan tuzilgan mehnat shartnomasi bekor qilingan sana</w:t>
        <w:fldChar w:fldCharType="end"/>
      </w:r>
      <w:r>
        <w:rPr>
          <w:sz w:val="26"/>
          <w:rFonts w:ascii="Times New Roman" w:hAnsi="Times New Roman"/>
        </w:rPr>
        <w:t xml:space="preserve"> kungi </w:t>
      </w:r>
      <w:r>
        <w:rPr>
          <w:sz w:val="26"/>
          <w:rFonts w:ascii="Times New Roman" w:hAnsi="Times New Roman"/>
        </w:rPr>
        <w:fldChar w:fldCharType="begin"/>
        <w:instrText xml:space="preserve">X {"Y":16}</w:instrText>
        <w:fldChar w:fldCharType="separate"/>
      </w:r>
      <w:r>
        <w:rPr>
          <w:sz w:val="26"/>
          <w:rFonts w:ascii="Times New Roman" w:hAnsi="Times New Roman"/>
        </w:rPr>
        <w:t xml:space="preserve">Da’vogar bilan tuzilgan mehnat shartnomasini bekor qilish to‘g‘risidagi buyruq raqami</w:t>
        <w:fldChar w:fldCharType="end"/>
      </w:r>
      <w:r>
        <w:rPr>
          <w:sz w:val="26"/>
          <w:rFonts w:ascii="Times New Roman" w:hAnsi="Times New Roman"/>
        </w:rPr>
        <w:t xml:space="preserve">-sonli buyrugʻi bilan bekor qilingan.</w:t>
      </w:r>
    </w:p>
    <w:p>
      <w:pPr>
        <w:jc w:val="both"/>
        <w:ind w:firstLine="708"/>
        <w:spacing w:after="0"/>
        <w:rPr>
          <w:sz w:val="26"/>
          <w:rFonts w:ascii="Times New Roman" w:hAnsi="Times New Roman"/>
        </w:rPr>
      </w:pPr>
      <w:r>
        <w:rPr>
          <w:sz w:val="26"/>
          <w:rFonts w:ascii="Times New Roman" w:hAnsi="Times New Roman"/>
        </w:rPr>
        <w:t xml:space="preserve">Mehnat shartnomasi bekor qilinishiga Xizmat tekshiruvi komissiyasining </w:t>
      </w:r>
      <w:r>
        <w:rPr>
          <w:sz w:val="26"/>
          <w:rFonts w:ascii="Times New Roman" w:hAnsi="Times New Roman"/>
        </w:rPr>
        <w:fldChar w:fldCharType="begin"/>
        <w:instrText xml:space="preserve">X {"Y":17}</w:instrText>
        <w:fldChar w:fldCharType="separate"/>
      </w:r>
      <w:r>
        <w:rPr>
          <w:sz w:val="26"/>
          <w:rFonts w:ascii="Times New Roman" w:hAnsi="Times New Roman"/>
        </w:rPr>
        <w:t xml:space="preserve">Xizmat tekshiruvi komissiyasi tomonidan tuzilgan dalolatnoma sanasi</w:t>
        <w:fldChar w:fldCharType="end"/>
      </w:r>
      <w:r>
        <w:rPr>
          <w:sz w:val="26"/>
          <w:rFonts w:ascii="Times New Roman" w:hAnsi="Times New Roman"/>
        </w:rPr>
        <w:t xml:space="preserve">-sanasidagi dalolatnoma asos sifatida olingan.</w:t>
      </w:r>
    </w:p>
    <w:p>
      <w:pPr>
        <w:jc w:val="both"/>
        <w:ind w:firstLine="708"/>
        <w:spacing w:after="0"/>
        <w:rPr>
          <w:sz w:val="26"/>
          <w:rFonts w:ascii="Times New Roman" w:hAnsi="Times New Roman"/>
        </w:rPr>
      </w:pPr>
      <w:r>
        <w:rPr>
          <w:sz w:val="26"/>
          <w:rFonts w:ascii="Times New Roman" w:hAnsi="Times New Roman"/>
        </w:rPr>
        <w:t xml:space="preserve">Da’vogarga nisbatan oʻtkazilgan xizmat tekshiruv jarayonini Mehnat kodeksining 302–311-moddalariga qay darajada mos ekanligi oʻrganib chiqildi. Oʻrganish davomida quyidagi qonunbuzarliklar aniqlandi:</w:t>
      </w:r>
    </w:p>
    <w:p>
      <w:pPr>
        <w:jc w:val="both"/>
        <w:ind w:firstLine="708"/>
        <w:spacing w:after="0"/>
        <w:rPr>
          <w:sz w:val="26"/>
          <w:rFonts w:ascii="Times New Roman" w:hAnsi="Times New Roman"/>
        </w:rPr>
      </w:pPr>
      <w:r>
        <w:rPr>
          <w:b/>
          <w:sz w:val="26"/>
          <w:rFonts w:ascii="Times New Roman" w:hAnsi="Times New Roman"/>
        </w:rPr>
        <w:t>Birinchidan,</w:t>
      </w:r>
      <w:r>
        <w:rPr>
          <w:sz w:val="26"/>
          <w:rFonts w:ascii="Times New Roman" w:hAnsi="Times New Roman"/>
        </w:rPr>
        <w:t xml:space="preserve"> Mehnat kodeksining 303-moddasida “xizmat tekshiruvi oʻtkazish uchun ish beruvchining buyrugʻi bilan xizmat tekshiruvi oʻtkazish boʻyicha komissiya tuziladi (bundan buyon matnda komissiya deb yuritiladi). Komissiya kamida uch nafar aʼzodan iborat boʻlishi kerak, ularning bir nafari komissiyaning raisi boʻladi. Komissiya tarkibiga tashkilotda mavjud boʻlgan taqdirda kasaba uyushmasi qoʻmitasining aʼzosi kiradi” deyilgan.</w:t>
      </w:r>
    </w:p>
    <w:p>
      <w:pPr>
        <w:jc w:val="both"/>
        <w:ind w:firstLine="708"/>
        <w:spacing w:after="0"/>
        <w:rPr>
          <w:sz w:val="26"/>
          <w:rFonts w:ascii="Times New Roman" w:hAnsi="Times New Roman"/>
        </w:rPr>
      </w:pPr>
      <w:r>
        <w:rPr>
          <w:sz w:val="26"/>
          <w:rFonts w:ascii="Times New Roman" w:hAnsi="Times New Roman"/>
        </w:rPr>
        <w:t xml:space="preserve">Mehnat kodeksining 6-moddasida “ish beruvchi tomonidan boshlangʻich kasaba uyushmasi tashkilotining saylab qoʻyiladigan organi (kasaba uyushmasi qoʻmitasi, kasaba uyushmasining tashkilotchisi yoki kasaba uyushmasi guruhining tashkilotchisi) yoki xodimlarning boshqa vakillik organi (bundan buyon matnda kasaba uyushmasi qoʻmitasi deb yuritiladi) bilan kelishgan holda qanday ichki hujjatlar qabul qilinishi mumkinligini belgilaydi” deyilgan. Mazkur qoidaga koʻra kasaba uyushmasi tashkilotining saylab qoʻyiladigan organlari ham, xodimlarning boshqa vakillik organi ham Kodeksning keyingi moddalarida bitta jumla bilan – “kasaba uyushmasi qoʻmitasi” degan jumla bilan ifodalanishi nazarda tutilmoqda. Yaʼni, kasaba uyushmasi qoʻmitasi deganda, tashkilotning xodimlari tomonidan saylangan xodimlar vakili ham tushuniladi.</w:t>
      </w:r>
    </w:p>
    <w:p>
      <w:pPr>
        <w:jc w:val="both"/>
        <w:ind w:firstLine="708"/>
        <w:spacing w:after="0"/>
        <w:rPr>
          <w:sz w:val="26"/>
          <w:rFonts w:ascii="Times New Roman" w:hAnsi="Times New Roman"/>
        </w:rPr>
      </w:pPr>
      <w:r>
        <w:rPr>
          <w:sz w:val="26"/>
          <w:rFonts w:ascii="Times New Roman" w:hAnsi="Times New Roman"/>
        </w:rPr>
        <w:t xml:space="preserve">Biroq,  Javobgarda xodimlarning vakili mavjud boʻlsada, jamiyat rahbari tomonidan tuzilgan xizmat tekshiruvi komissiyasi tarkibiga tashkilot xodimlarining vakillik organiga saylangan shaxs kiritilmagan.</w:t>
      </w:r>
    </w:p>
    <w:p>
      <w:pPr>
        <w:jc w:val="both"/>
        <w:ind w:firstLine="708"/>
        <w:spacing w:after="0"/>
        <w:rPr>
          <w:sz w:val="26"/>
          <w:rFonts w:ascii="Times New Roman" w:hAnsi="Times New Roman"/>
        </w:rPr>
      </w:pPr>
      <w:r>
        <w:rPr>
          <w:b/>
          <w:sz w:val="26"/>
          <w:rFonts w:ascii="Times New Roman" w:hAnsi="Times New Roman"/>
        </w:rPr>
        <w:t xml:space="preserve">Ikkinchidan.  </w:t>
      </w:r>
      <w:r>
        <w:rPr>
          <w:sz w:val="26"/>
          <w:rFonts w:ascii="Times New Roman" w:hAnsi="Times New Roman"/>
        </w:rPr>
        <w:t xml:space="preserve">Mehnat kodeksining 310-moddasi birinchi qismiga koʻra “xizmat tekshiruvi natijalari toʻgʻrisidagi dalolatnoma tegishli qarorni qabul qilish uchun ovoz bergan komissiya aʼzolari tomonidan imzolanishi kerak” deyilgan.</w:t>
      </w:r>
    </w:p>
    <w:p>
      <w:pPr>
        <w:jc w:val="both"/>
        <w:ind w:firstLine="708"/>
        <w:spacing w:after="0"/>
        <w:rPr>
          <w:sz w:val="26"/>
          <w:rFonts w:ascii="Times New Roman" w:hAnsi="Times New Roman"/>
        </w:rPr>
      </w:pPr>
      <w:r>
        <w:rPr>
          <w:sz w:val="26"/>
          <w:rFonts w:ascii="Times New Roman" w:hAnsi="Times New Roman"/>
        </w:rPr>
        <w:t xml:space="preserve">Shuningdek, MK 310-moddasining oxirgi qismida “xizmat tekshiruvi natijalari toʻgʻrisidagi dalolatnoma komissiya toʻplagan boshqa materiallar bilan birga ish beruvchiga komissiya majlisida oʻtkazilgan xizmat tekshiruvi haqida qaror qabul qilinganidan keyin uch ish kunidan kechiktirmay topshirilishi kerak” deyilgan.</w:t>
      </w:r>
    </w:p>
    <w:p>
      <w:pPr>
        <w:jc w:val="both"/>
        <w:ind w:firstLine="708"/>
        <w:spacing w:after="0"/>
        <w:rPr>
          <w:sz w:val="26"/>
          <w:rFonts w:ascii="Times New Roman" w:hAnsi="Times New Roman"/>
        </w:rPr>
      </w:pPr>
      <w:r>
        <w:rPr>
          <w:b/>
          <w:sz w:val="26"/>
          <w:rFonts w:ascii="Times New Roman" w:hAnsi="Times New Roman"/>
        </w:rPr>
        <w:t xml:space="preserve">Uchinchidan. </w:t>
      </w:r>
      <w:r>
        <w:rPr>
          <w:sz w:val="26"/>
          <w:rFonts w:ascii="Times New Roman" w:hAnsi="Times New Roman"/>
        </w:rPr>
        <w:t xml:space="preserve">Mehnat kodeksining 305-moddasida xizmat tekshiruvi oʻtkazish boʻyicha komissiya oʻziga nisbatan xizmat tekshiruvi oʻtkazilayotgan xodimlarga yozma shaklda tushuntirishlar taqdim etishni, shuningdek xizmat tekshiruvi masalalarining mohiyati yuzasidan boshqa axborotni maʼlum qilishni taklif etish huquqiga ega ekanligi koʻrsatilgan.</w:t>
      </w:r>
    </w:p>
    <w:p>
      <w:pPr>
        <w:jc w:val="both"/>
        <w:ind w:firstLine="708"/>
        <w:spacing w:after="0"/>
        <w:rPr>
          <w:sz w:val="26"/>
          <w:rFonts w:ascii="Times New Roman" w:hAnsi="Times New Roman"/>
        </w:rPr>
      </w:pPr>
      <w:r>
        <w:rPr>
          <w:sz w:val="26"/>
          <w:rFonts w:ascii="Times New Roman" w:hAnsi="Times New Roman"/>
        </w:rPr>
        <w:t xml:space="preserve">Mazkur qoidaga asosan komissiya xodimdan xizmat tekshiruvi oʻtkazish chogʻida tushuntirish xati soʻrashi mumkin.</w:t>
      </w:r>
    </w:p>
    <w:p>
      <w:pPr>
        <w:jc w:val="both"/>
        <w:ind w:firstLine="708"/>
        <w:spacing w:after="0"/>
        <w:rPr>
          <w:sz w:val="26"/>
          <w:rFonts w:ascii="Times New Roman" w:hAnsi="Times New Roman"/>
        </w:rPr>
      </w:pPr>
      <w:r>
        <w:rPr>
          <w:sz w:val="26"/>
          <w:rFonts w:ascii="Times New Roman" w:hAnsi="Times New Roman"/>
        </w:rPr>
        <w:t xml:space="preserve">Yuqoridagilardan koʻrinib turibdiki, komissiya tomonidan oʻtkazilgan xizmat tekshiruvi jarayoni gʻayriqonuniy boʻlgan.</w:t>
      </w:r>
    </w:p>
    <w:p>
      <w:pPr>
        <w:jc w:val="both"/>
        <w:ind w:firstLine="708"/>
        <w:spacing w:after="0"/>
        <w:rPr>
          <w:sz w:val="26"/>
          <w:rFonts w:ascii="Times New Roman" w:hAnsi="Times New Roman"/>
        </w:rPr>
      </w:pPr>
      <w:r>
        <w:rPr>
          <w:b/>
          <w:sz w:val="26"/>
          <w:rFonts w:ascii="Times New Roman" w:hAnsi="Times New Roman"/>
        </w:rPr>
        <w:t xml:space="preserve">Mehnat kodeksining 306-moddasiga asosan</w:t>
      </w:r>
      <w:r>
        <w:rPr>
          <w:sz w:val="26"/>
          <w:rFonts w:ascii="Times New Roman" w:hAnsi="Times New Roman"/>
        </w:rPr>
        <w:t xml:space="preserve"> ustidan xizmat tekshiruvi oʻtkazilayotgan xodim komissiyaning qarorlari va harakatlari (harakatsizligi) ustidan yakka tartibdagi mehnat nizolari uchun belgilangan tartibda shikoyat qilishga haqlidir.</w:t>
      </w:r>
    </w:p>
    <w:p>
      <w:pPr>
        <w:jc w:val="both"/>
        <w:ind w:firstLine="708"/>
        <w:spacing w:after="0"/>
        <w:rPr>
          <w:b/>
          <w:sz w:val="26"/>
          <w:rFonts w:ascii="Times New Roman" w:hAnsi="Times New Roman"/>
        </w:rPr>
      </w:pPr>
      <w:r>
        <w:rPr>
          <w:b/>
          <w:sz w:val="26"/>
          <w:rFonts w:ascii="Times New Roman" w:hAnsi="Times New Roman"/>
        </w:rPr>
        <w:t xml:space="preserve">Qayd etilganlarga koʻra, ish beruvchining </w:t>
      </w:r>
      <w:r>
        <w:rPr>
          <w:b/>
          <w:sz w:val="26"/>
          <w:rFonts w:ascii="Times New Roman" w:hAnsi="Times New Roman"/>
        </w:rPr>
        <w:fldChar w:fldCharType="begin"/>
        <w:instrText xml:space="preserve">X {"Y":17}</w:instrText>
        <w:fldChar w:fldCharType="separate"/>
      </w:r>
      <w:r>
        <w:rPr>
          <w:b/>
          <w:sz w:val="26"/>
          <w:rFonts w:ascii="Times New Roman" w:hAnsi="Times New Roman"/>
        </w:rPr>
        <w:t xml:space="preserve">Xizmat tekshiruvi komissiyasi tomonidan tuzilgan dalolatnoma sanasi</w:t>
        <w:fldChar w:fldCharType="end"/>
      </w:r>
      <w:r>
        <w:rPr>
          <w:b/>
          <w:sz w:val="26"/>
          <w:rFonts w:ascii="Times New Roman" w:hAnsi="Times New Roman"/>
        </w:rPr>
        <w:t xml:space="preserve">dagi </w:t>
      </w:r>
      <w:r>
        <w:rPr>
          <w:b/>
          <w:sz w:val="26"/>
          <w:rFonts w:ascii="Times New Roman" w:hAnsi="Times New Roman"/>
        </w:rPr>
        <w:fldChar w:fldCharType="begin"/>
        <w:instrText xml:space="preserve">X {"Y":18}</w:instrText>
        <w:fldChar w:fldCharType="separate"/>
      </w:r>
      <w:r>
        <w:rPr>
          <w:b/>
          <w:sz w:val="26"/>
          <w:rFonts w:ascii="Times New Roman" w:hAnsi="Times New Roman"/>
        </w:rPr>
        <w:t xml:space="preserve">Xizmat tekshiruvi o‘tkazish bo‘yicha buyruq soni</w:t>
        <w:fldChar w:fldCharType="end"/>
      </w:r>
      <w:r>
        <w:rPr>
          <w:b/>
          <w:sz w:val="26"/>
          <w:rFonts w:ascii="Times New Roman" w:hAnsi="Times New Roman"/>
        </w:rPr>
        <w:t xml:space="preserve">-sonli buyrugʻi bilan tuzilgan xizmat tekshiruvi oʻtkazish boʻyicha komissiyaning daʼvogar </w:t>
      </w:r>
      <w:r>
        <w:rPr>
          <w:b/>
          <w:vanish w:val="false"/>
          <w:sz w:val="26"/>
          <w:rFonts w:ascii="Times New Roman" w:hAnsi="Times New Roman"/>
        </w:rPr>
        <w:fldChar w:fldCharType="begin"/>
        <w:instrText xml:space="preserve">X {"Y":5}</w:instrText>
        <w:fldChar w:fldCharType="separate"/>
      </w:r>
      <w:r>
        <w:rPr>
          <w:b/>
          <w:vanish w:val="false"/>
          <w:sz w:val="26"/>
          <w:rFonts w:ascii="Times New Roman" w:hAnsi="Times New Roman"/>
        </w:rPr>
        <w:t xml:space="preserve">Daʻvogarning F.I.Osi</w:t>
        <w:fldChar w:fldCharType="end"/>
      </w:r>
      <w:r>
        <w:rPr>
          <w:b/>
          <w:sz w:val="26"/>
          <w:rFonts w:ascii="Times New Roman" w:hAnsi="Times New Roman"/>
        </w:rPr>
        <w:t xml:space="preserve">ning faoliyati boʻyicha oʻtkazilgan xizmat tekshiruviga oid harakatlarini gʻayriqonuniy deb topishingizni soʻrayman.</w:t>
      </w:r>
    </w:p>
    <w:p>
      <w:pPr>
        <w:jc w:val="both"/>
        <w:ind w:firstLine="708"/>
        <w:spacing w:after="0"/>
        <w:rPr>
          <w:sz w:val="26"/>
          <w:rFonts w:ascii="Times New Roman" w:hAnsi="Times New Roman"/>
        </w:rPr>
      </w:pPr>
    </w:p>
    <w:p>
      <w:pPr>
        <w:jc w:val="both"/>
        <w:ind w:firstLine="993"/>
        <w:spacing w:after="0"/>
        <w:rPr>
          <w:sz w:val="26"/>
          <w:rFonts w:ascii="Times New Roman" w:hAnsi="Times New Roman"/>
        </w:rPr>
      </w:pP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Daʻvo ariza berilgan sana</w:t>
        <w:fldChar w:fldCharType="end"/>
      </w:r>
    </w:p>
    <w:p>
      <w:pPr>
        <w:pStyle w:val="30"/>
        <w:jc w:val="both"/>
        <w:spacing w:after="0"/>
        <w:rPr>
          <w:rStyle w:val="3"/>
          <w:b/>
          <w:sz w:val="24"/>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BFA"/>
    <w:rsid w:val="00213F6B"/>
    <w:rsid w:val="00340D91"/>
    <w:rsid w:val="003F2888"/>
    <w:rsid w:val="004525AB"/>
    <w:rsid w:val="00503C7A"/>
    <w:rsid w:val="00935DE9"/>
    <w:rsid w:val="00937C1C"/>
    <w:rsid w:val="00962BFA"/>
    <w:rsid w:val="00AA7A14"/>
    <w:rsid w:val="00B02345"/>
    <w:rsid w:val="00B72135"/>
    <w:rsid w:val="00C518E9"/>
    <w:rsid w:val="00CF6C3A"/>
    <w:rsid w:val="00D14DD2"/>
    <w:rsid w:val="00DB24C8"/>
    <w:rsid w:val="00ED7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B656"/>
  <w15:chartTrackingRefBased/>
  <w15:docId w15:val="{F7BD9B1D-9684-4531-9D48-CF831C59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BF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3F2888"/>
    <w:rPr>
      <w:rFonts w:ascii="Times New Roman" w:eastAsia="Times New Roman" w:hAnsi="Times New Roman" w:cs="Times New Roman"/>
    </w:rPr>
  </w:style>
  <w:style w:type="paragraph" w:customStyle="1" w:styleId="1">
    <w:name w:val="Основной текст1"/>
    <w:basedOn w:val="a"/>
    <w:link w:val="a3"/>
    <w:rsid w:val="003F2888"/>
    <w:pPr>
      <w:widowControl w:val="0"/>
      <w:spacing w:after="0" w:line="240" w:lineRule="auto"/>
    </w:pPr>
    <w:rPr>
      <w:rFonts w:ascii="Times New Roman" w:eastAsia="Times New Roman" w:hAnsi="Times New Roman"/>
    </w:rPr>
  </w:style>
  <w:style w:type="character" w:customStyle="1" w:styleId="3">
    <w:name w:val="Основной текст (3)_"/>
    <w:basedOn w:val="a0"/>
    <w:link w:val="30"/>
    <w:rsid w:val="00ED7CC2"/>
    <w:rPr>
      <w:rFonts w:ascii="Times New Roman" w:eastAsia="Times New Roman" w:hAnsi="Times New Roman" w:cs="Times New Roman"/>
      <w:b/>
      <w:bCs/>
    </w:rPr>
  </w:style>
  <w:style w:type="paragraph" w:customStyle="1" w:styleId="30">
    <w:name w:val="Основной текст (3)"/>
    <w:basedOn w:val="a"/>
    <w:link w:val="3"/>
    <w:rsid w:val="00ED7CC2"/>
    <w:pPr>
      <w:widowControl w:val="0"/>
      <w:spacing w:after="150" w:line="240" w:lineRule="auto"/>
    </w:pPr>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718</Words>
  <Characters>4095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2025-01-31T11:22:00Z</dcterms:created>
  <dcterms:modified xsi:type="dcterms:W3CDTF">2025-01-31T11:22:00Z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Daʻvo ariza rekvizitlari</w:name>
    <w:value w:hidden="true">
      <w:unit w:active="false"/>
    </w:value>
  </w:element>
  <w:element w:id="2" w:kind="variable" w:type="string" w:valueMode="normal" w:required="false">
    <w:identifier xml:space="preserve">ID2</w:identifier>
    <w:name xml:space="preserve">Daʻvo arizasi berilayotgan sudning nomi</w:name>
    <w:value w:hidden="false">
      <w:unit w:active="false"/>
      <w:binding w:dataSource="1" w:column="court_name" w:search="false"/>
    </w:value>
  </w:element>
  <w:element w:id="3" w:kind="variable" w:type="string" w:valueMode="normal" w:required="false">
    <w:identifier xml:space="preserve">ID3</w:identifier>
    <w:name xml:space="preserve">Daʻvo ariza berilgan sana</w:name>
    <w:value w:hidden="false">
      <w:unit w:active="false"/>
    </w:value>
  </w:element>
  <w:element w:id="4" w:kind="category" w:type="string" w:valueMode="normal" w:required="false">
    <w:identifier xml:space="preserve">ID4</w:identifier>
    <w:name xml:space="preserve">Taraflarning rekvizitlari</w:name>
    <w:value w:hidden="true">
      <w:unit w:active="false"/>
    </w:value>
  </w:element>
  <w:element w:id="5" w:kind="variable" w:type="string" w:valueMode="normal" w:required="false">
    <w:identifier xml:space="preserve">ID5</w:identifier>
    <w:name xml:space="preserve">Daʻvogarning F.I.Osi</w:name>
    <w:value w:hidden="false">
      <w:unit w:active="false"/>
    </w:value>
  </w:element>
  <w:element w:id="6" w:kind="variable" w:type="string" w:valueMode="normal" w:required="false">
    <w:identifier xml:space="preserve">ID6</w:identifier>
    <w:name xml:space="preserve"> Daʻvogarning doimiy yashash manzili</w:name>
    <w:value w:hidden="false">
      <w:unit w:active="false"/>
    </w:value>
  </w:element>
  <w:element w:id="7" w:kind="variable" w:type="string" w:valueMode="normal" w:required="false">
    <w:identifier xml:space="preserve">ID7</w:identifier>
    <w:name xml:space="preserve">Daʻvogarning telefon raqami</w:name>
    <w:value w:hidden="false">
      <w:unit w:active="false"/>
    </w:value>
  </w:element>
  <w:element w:id="8" w:kind="variable" w:type="string" w:valueMode="normal" w:required="false">
    <w:identifier xml:space="preserve">ID8</w:identifier>
    <w:name xml:space="preserve">Daʻvogarning elektron manzili</w:name>
    <w:value w:hidden="false">
      <w:unit w:active="false"/>
    </w:value>
  </w:element>
  <w:element w:id="9" w:kind="variable" w:type="string" w:valueMode="normal" w:required="false">
    <w:identifier xml:space="preserve">ID9</w:identifier>
    <w:name xml:space="preserve">Javobgar tashkilotning nomi</w:name>
    <w:value w:hidden="false">
      <w:unit w:active="false"/>
    </w:value>
  </w:element>
  <w:element w:id="10" w:kind="variable" w:type="string" w:valueMode="normal" w:required="false">
    <w:identifier xml:space="preserve">ID10</w:identifier>
    <w:name xml:space="preserve">Javobgarning manzili</w:name>
    <w:value w:hidden="false">
      <w:unit w:active="false"/>
    </w:value>
  </w:element>
  <w:element w:id="11" w:kind="variable" w:type="string" w:valueMode="normal" w:required="false">
    <w:identifier xml:space="preserve">ID11</w:identifier>
    <w:name xml:space="preserve">Javobgarning STIR raqami</w:name>
    <w:value w:hidden="false">
      <w:unit w:active="false"/>
    </w:value>
  </w:element>
  <w:element w:id="12" w:kind="variable" w:type="string" w:valueMode="normal" w:required="false">
    <w:identifier xml:space="preserve">ID12</w:identifier>
    <w:name xml:space="preserve">Javobgarning telefon raqami</w:name>
    <w:value w:hidden="false">
      <w:unit w:active="false"/>
    </w:value>
  </w:element>
  <w:element w:id="13" w:kind="variable" w:type="string" w:valueMode="normal" w:required="false">
    <w:identifier xml:space="preserve">ID13</w:identifier>
    <w:name xml:space="preserve">Javobgarning elektron manzili</w:name>
    <w:value w:hidden="false">
      <w:unit w:active="false"/>
    </w:value>
  </w:element>
  <w:element w:id="14" w:kind="category" w:type="string" w:valueMode="normal" w:required="false">
    <w:identifier xml:space="preserve">ID14</w:identifier>
    <w:name xml:space="preserve">Daʻvo ariza mazmuni</w:name>
    <w:value w:hidden="true">
      <w:unit w:active="false"/>
    </w:value>
  </w:element>
  <w:element w:id="15" w:kind="variable" w:type="string" w:valueMode="normal" w:required="false">
    <w:identifier xml:space="preserve">ID15</w:identifier>
    <w:name xml:space="preserve">Da’vogar bilan tuzilgan mehnat shartnomasi bekor qilingan sana</w:name>
    <w:value w:hidden="false">
      <w:unit w:active="false"/>
    </w:value>
  </w:element>
  <w:element w:id="16" w:kind="variable" w:type="string" w:valueMode="normal" w:required="false">
    <w:identifier xml:space="preserve">ID16</w:identifier>
    <w:name xml:space="preserve">Da’vogar bilan tuzilgan mehnat shartnomasini bekor qilish to‘g‘risidagi buyruq raqami</w:name>
    <w:value w:hidden="false">
      <w:unit w:active="false"/>
    </w:value>
  </w:element>
  <w:element w:id="17" w:kind="variable" w:type="string" w:valueMode="normal" w:required="false">
    <w:identifier xml:space="preserve">ID17</w:identifier>
    <w:name xml:space="preserve">Xizmat tekshiruvi komissiyasi tomonidan tuzilgan dalolatnoma sanasi</w:name>
    <w:value w:hidden="false">
      <w:unit w:active="false"/>
    </w:value>
  </w:element>
  <w:element w:id="18" w:kind="variable" w:type="string" w:valueMode="normal" w:required="false">
    <w:identifier xml:space="preserve">ID18</w:identifier>
    <w:name xml:space="preserve">Xizmat tekshiruvi o‘tkazish bo‘yicha buyruq soni</w:name>
    <w:value w:hidden="false">
      <w:unit w:active="false"/>
    </w:value>
  </w:element>
</w:structure>
</file>