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ind w:firstLine="708"/>
        <w:spacing w:before="0" w:beforeAutoSpacing="false" w:after="0" w:afterAutoSpacing="false"/>
        <w:rPr>
          <w:b/>
          <w:color w:val="000000"/>
          <w:sz w:val="28"/>
          <w:rFonts w:ascii="Times New Roman" w:hAnsi="Times New Roman"/>
        </w:rPr>
      </w:pPr>
    </w:p>
    <w:p>
      <w:pPr>
        <w:pStyle w:val="a3"/>
        <w:jc w:val="center"/>
        <w:ind w:firstLine="708"/>
        <w:spacing w:before="0" w:beforeAutoSpacing="false" w:after="0" w:afterAutoSpacing="false"/>
      </w:pPr>
      <w:r>
        <w:rPr>
          <w:b/>
          <w:color w:val="000000"/>
          <w:sz w:val="28"/>
        </w:rPr>
        <w:t xml:space="preserve">Xizmat tekshiruvi oʻtkazish haqida</w:t>
      </w:r>
    </w:p>
    <w:p>
      <w:pPr>
        <w:pStyle w:val="a3"/>
        <w:jc w:val="both"/>
        <w:spacing w:before="0" w:beforeAutoSpacing="false" w:after="0" w:afterAutoSpacing="false"/>
      </w:pPr>
      <w:r>
        <w:rPr>
          <w:b/>
          <w:i/>
          <w:color w:val="000000"/>
          <w:sz w:val="28"/>
        </w:rPr>
        <w:tab/>
      </w: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 Mehnat kodeksining 303-moddasi. Xizmat tekshiruvi o‘tkazish to‘g‘risida qaror qabul qilish</w:t>
      </w:r>
    </w:p>
    <w:p>
      <w:pPr>
        <w:pStyle w:val="a3"/>
        <w:jc w:val="both"/>
        <w:ind w:firstLine="708"/>
        <w:spacing w:after="0"/>
        <w:rPr>
          <w:color w:val="000000"/>
          <w:sz w:val="28"/>
          <w:rFonts w:ascii="Times New Roman" w:hAnsi="Times New Roman"/>
        </w:rPr>
      </w:pPr>
      <w:r>
        <w:rPr>
          <w:color w:val="000000"/>
          <w:sz w:val="28"/>
        </w:rPr>
        <w:t xml:space="preserve">Xizmat tekshiruvi o‘tkazish to‘g‘risida qaror qabul qilish uchun ommaviy axborot vositalarining xabarlari, xodimning bevosita rahbarining bildirgisi, jismoniy va yuridik shaxslarning murojaatlari hamda xodim tomonidan intizomiy qilmish sodir etilgan deb taxmin qilish uchun asos beradigan boshqa ma’lumotlar asos bo‘ladi.</w:t>
      </w:r>
    </w:p>
    <w:p>
      <w:pPr>
        <w:pStyle w:val="a3"/>
        <w:jc w:val="both"/>
        <w:ind w:firstLine="708"/>
        <w:spacing w:after="0"/>
        <w:rPr>
          <w:color w:val="000000"/>
          <w:sz w:val="28"/>
          <w:rFonts w:ascii="Times New Roman" w:hAnsi="Times New Roman"/>
        </w:rPr>
      </w:pPr>
      <w:r>
        <w:rPr>
          <w:color w:val="000000"/>
          <w:sz w:val="28"/>
        </w:rPr>
        <w:t xml:space="preserve">Ish beruvchi xizmat tekshiruvi o‘tkazish haqida qaror qabul qilishga haqli. Xizmat tekshiruvi o‘tkazish to‘g‘risidagi qaror tegishli buyruq bilan rasmiylashtiriladi.</w:t>
      </w: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O‘ziga nisbatan xizmat tekshiruvi o‘tkaziladigan xodim ish beruvchining xizmat tekshiruvi o‘tkazish haqidagi buyrug‘i hamda xizmat tekshiruvi o‘tkazish bo‘yicha komissiya tarkibi bilan imzo qo‘ydirib tanishtirilishi kerak.</w:t>
      </w:r>
    </w:p>
    <w:p>
      <w:pPr>
        <w:pStyle w:val="a3"/>
        <w:jc w:val="both"/>
        <w:ind w:firstLine="708"/>
        <w:spacing w:before="0" w:beforeAutoSpacing="false" w:after="0" w:afterAutoSpacing="false"/>
        <w:rPr>
          <w:color w:val="000000"/>
          <w:sz w:val="28"/>
          <w:rFonts w:ascii="Times New Roman" w:hAnsi="Times New Roman"/>
        </w:rPr>
      </w:pP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O‘zbekiston Respublikasi Mehnat kodeksining 302, 303-moddalariga muvofiq,</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center"/>
        <w:ind w:firstLine="707"/>
        <w:spacing w:before="0" w:beforeAutoSpacing="false" w:after="0" w:afterAutoSpacing="false"/>
      </w:pPr>
      <w:r>
        <w:rPr>
          <w:b/>
          <w:color w:val="000000"/>
          <w:sz w:val="28"/>
        </w:rPr>
        <w:t xml:space="preserve">B U Y U R A M A N:</w:t>
      </w:r>
    </w:p>
    <w:p>
      <w:pPr>
        <w:pStyle w:val="a3"/>
        <w:jc w:val="center"/>
        <w:ind w:firstLine="707"/>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1</w:t>
      </w:r>
      <w:r>
        <w:rPr>
          <w:color w:val="000000"/>
          <w:sz w:val="28"/>
        </w:rPr>
        <w:t>.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b/>
          <w:color w:val="000000"/>
          <w:sz w:val="28"/>
        </w:rPr>
        <w:t xml:space="preserve"> -</w:t>
      </w:r>
      <w:r>
        <w:rPr>
          <w:color w:val="000000"/>
          <w:sz w:val="28"/>
        </w:rPr>
        <w:t xml:space="preserve">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Tashkilot nomi</w:t>
        <w:fldChar w:fldCharType="end"/>
      </w:r>
      <w:r>
        <w:rPr>
          <w:color w:val="000000"/>
          <w:sz w:val="28"/>
        </w:rPr>
        <w:t xml:space="preserve">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 faoliyatida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Tekshirilishi lozim bo‘lgan ish faoliyati boshlangan sana</w:t>
        <w:fldChar w:fldCharType="end"/>
      </w:r>
      <w:r>
        <w:rPr>
          <w:color w:val="000000"/>
          <w:sz w:val="28"/>
        </w:rPr>
        <w:t xml:space="preserve">dan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Tekshirilishi lozim bo‘lgan ish faoliyatining tugash sanasi</w:t>
        <w:fldChar w:fldCharType="end"/>
      </w:r>
      <w:r>
        <w:rPr>
          <w:color w:val="000000"/>
          <w:sz w:val="28"/>
        </w:rPr>
        <w:t xml:space="preserve">gacha xizmat tekshiruvi oʻtkazilsin.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color w:val="000000"/>
          <w:sz w:val="28"/>
        </w:rPr>
        <w:t xml:space="preserve">2. Xizmat tekshiruvi natijasi yuzasidan tuzilgan xulosa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Xizmat tekshiruvi xulosasi taqdim qilinishi lozim bo‘lgan sana</w:t>
        <w:fldChar w:fldCharType="end"/>
      </w:r>
      <w:r>
        <w:rPr>
          <w:color w:val="000000"/>
          <w:sz w:val="28"/>
        </w:rPr>
        <w:t xml:space="preserve"> kuniga qadar rahbariyatga taqdim etilsin va belgilangan tartibda ariza muallifiga javob xati berilsin.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rPr>
        <w:t xml:space="preserve">Asos: </w:t>
      </w:r>
      <w:r>
        <w:rPr>
          <w:color w:val="000000"/>
        </w:rPr>
        <w:t xml:space="preserve">O‘zbekiston Respublikasi Mehnat kodeksining 303-moddasi.</w:t>
      </w:r>
    </w:p>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96"/>
        <w:gridCol w:w="2963"/>
        <w:gridCol w:w="3296"/>
      </w:tblGrid>
      <w:tr>
        <w:tc>
          <w:tcPr>
            <w:tcW w:w="3115" w:type="dxa"/>
          </w:tcPr>
          <w:p>
            <w:pPr>
              <w:rPr>
                <w:color w:val="000000"/>
                <w:sz w:val="28"/>
                <w:rFonts w:ascii="Times New Roman" w:hAnsi="Times New Roman"/>
              </w:rPr>
            </w:pP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rPr>
                <w:color w:val="000000"/>
                <w:sz w:val="28"/>
                <w:rFonts w:ascii="Times New Roman" w:hAnsi="Times New Roman"/>
              </w:rPr>
            </w:pPr>
            <w:r>
              <w:rPr>
                <w:color w:val="000000"/>
                <w:sz w:val="28"/>
                <w:rFonts w:ascii="Times New Roman" w:hAnsi="Times New Roman"/>
              </w:rPr>
              <w:t>_______________</w:t>
            </w:r>
          </w:p>
        </w:tc>
        <w:tc>
          <w:tcPr>
            <w:tcW w:w="3115" w:type="dxa"/>
          </w:tcPr>
          <w:p>
            <w:pPr>
              <w:rPr>
                <w:color w:val="000000"/>
                <w:sz w:val="28"/>
                <w:rFonts w:ascii="Times New Roman" w:hAnsi="Times New Roman"/>
              </w:rPr>
            </w:pP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Buyruq chiqargan shaxsning F.I.O.si</w:t>
              <w:fldChar w:fldCharType="end"/>
            </w:r>
          </w:p>
        </w:tc>
      </w:tr>
      <w:tr>
        <w:tc>
          <w:tcPr>
            <w:tcW w:w="3115" w:type="dxa"/>
          </w:tcPr>
          <w:p>
            <w:pPr>
              <w:rPr>
                <w:color w:val="000000"/>
                <w:sz w:val="28"/>
                <w:rFonts w:ascii="Times New Roman" w:hAnsi="Times New Roman"/>
              </w:rPr>
            </w:pPr>
          </w:p>
        </w:tc>
        <w:tc>
          <w:tcPr>
            <w:tcW w:w="3115" w:type="dxa"/>
          </w:tcPr>
          <w:p>
            <w:pPr>
              <w:rPr>
                <w:color w:val="000000"/>
                <w:sz w:val="28"/>
                <w:rFonts w:ascii="Times New Roman" w:hAnsi="Times New Roman"/>
              </w:rPr>
            </w:pPr>
          </w:p>
        </w:tc>
        <w:tc>
          <w:tcPr>
            <w:tcW w:w="3115" w:type="dxa"/>
          </w:tcPr>
          <w:p>
            <w:pPr>
              <w:rPr>
                <w:color w:val="000000"/>
                <w:sz w:val="28"/>
                <w:rFonts w:ascii="Times New Roman" w:hAnsi="Times New Roman"/>
              </w:rPr>
            </w:pPr>
          </w:p>
        </w:tc>
      </w:tr>
    </w:tbl>
    <w:p>
      <w:pPr>
        <w:pStyle w:val="a3"/>
        <w:jc w:val="both"/>
        <w:spacing w:before="0" w:beforeAutoSpacing="false" w:after="0" w:afterAutoSpacing="false"/>
        <w:rPr>
          <w:color w:val="000000"/>
          <w:sz w:val="28"/>
          <w:rFonts w:ascii="Times New Roman" w:hAnsi="Times New Roman"/>
        </w:rPr>
      </w:pPr>
      <w:r>
        <w:rPr>
          <w:color w:val="000000"/>
          <w:sz w:val="28"/>
        </w:rPr>
        <w:tab/>
        <w:tab/>
        <w:tab/>
        <w:tab/>
        <w:tab/>
        <w:t xml:space="preserve">   (imzo)</w:t>
      </w:r>
    </w:p>
    <w:p/>
    <w:p>
      <w:pPr>
        <w:spacing w:after="0"/>
        <w:rPr>
          <w:b/>
          <w:sz w:val="28"/>
          <w:rFonts w:ascii="Times New Roman" w:hAnsi="Times New Roman"/>
        </w:rPr>
      </w:pPr>
      <w:r>
        <w:rPr>
          <w:b/>
          <w:sz w:val="28"/>
          <w:rFonts w:ascii="Times New Roman" w:hAnsi="Times New Roman"/>
        </w:rPr>
      </w:r>
    </w:p>
    <w:p>
      <w:pPr>
        <w:spacing w:after="0"/>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428"/>
    <w:rsid w:val="0003260F"/>
    <w:rsid w:val="000A36A2"/>
    <w:rsid w:val="0027714E"/>
    <w:rsid w:val="0028188F"/>
    <w:rsid w:val="002C6428"/>
    <w:rsid w:val="00752E69"/>
    <w:rsid w:val="008B255F"/>
    <w:rsid w:val="008C298A"/>
    <w:rsid w:val="00C86308"/>
    <w:rsid w:val="00D010B8"/>
    <w:rsid w:val="00D10E2F"/>
    <w:rsid w:val="00D30F97"/>
    <w:rsid w:val="00E074D4"/>
    <w:rsid w:val="00F85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97709"/>
  <w15:chartTrackingRefBased/>
  <w15:docId w15:val="{3FCD5F75-EB27-4F2C-838D-CBAA43D30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298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D30F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529127">
      <w:bodyDiv w:val="1"/>
      <w:marLeft w:val="0"/>
      <w:marRight w:val="0"/>
      <w:marTop w:val="0"/>
      <w:marBottom w:val="0"/>
      <w:divBdr>
        <w:top w:val="none" w:sz="0" w:space="0" w:color="auto"/>
        <w:left w:val="none" w:sz="0" w:space="0" w:color="auto"/>
        <w:bottom w:val="none" w:sz="0" w:space="0" w:color="auto"/>
        <w:right w:val="none" w:sz="0" w:space="0" w:color="auto"/>
      </w:divBdr>
    </w:div>
    <w:div w:id="1034695851">
      <w:bodyDiv w:val="1"/>
      <w:marLeft w:val="0"/>
      <w:marRight w:val="0"/>
      <w:marTop w:val="0"/>
      <w:marBottom w:val="0"/>
      <w:divBdr>
        <w:top w:val="none" w:sz="0" w:space="0" w:color="auto"/>
        <w:left w:val="none" w:sz="0" w:space="0" w:color="auto"/>
        <w:bottom w:val="none" w:sz="0" w:space="0" w:color="auto"/>
        <w:right w:val="none" w:sz="0" w:space="0" w:color="auto"/>
      </w:divBdr>
      <w:divsChild>
        <w:div w:id="604847494">
          <w:marLeft w:val="0"/>
          <w:marRight w:val="0"/>
          <w:marTop w:val="120"/>
          <w:marBottom w:val="120"/>
          <w:divBdr>
            <w:top w:val="none" w:sz="0" w:space="0" w:color="auto"/>
            <w:left w:val="none" w:sz="0" w:space="0" w:color="auto"/>
            <w:bottom w:val="none" w:sz="0" w:space="0" w:color="auto"/>
            <w:right w:val="none" w:sz="0" w:space="0" w:color="auto"/>
          </w:divBdr>
        </w:div>
        <w:div w:id="1694454861">
          <w:marLeft w:val="0"/>
          <w:marRight w:val="0"/>
          <w:marTop w:val="0"/>
          <w:marBottom w:val="150"/>
          <w:divBdr>
            <w:top w:val="none" w:sz="0" w:space="0" w:color="auto"/>
            <w:left w:val="none" w:sz="0" w:space="0" w:color="auto"/>
            <w:bottom w:val="none" w:sz="0" w:space="0" w:color="auto"/>
            <w:right w:val="none" w:sz="0" w:space="0" w:color="auto"/>
          </w:divBdr>
        </w:div>
        <w:div w:id="1100368081">
          <w:marLeft w:val="0"/>
          <w:marRight w:val="0"/>
          <w:marTop w:val="0"/>
          <w:marBottom w:val="150"/>
          <w:divBdr>
            <w:top w:val="none" w:sz="0" w:space="0" w:color="auto"/>
            <w:left w:val="none" w:sz="0" w:space="0" w:color="auto"/>
            <w:bottom w:val="none" w:sz="0" w:space="0" w:color="auto"/>
            <w:right w:val="none" w:sz="0" w:space="0" w:color="auto"/>
          </w:divBdr>
        </w:div>
        <w:div w:id="38549685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293</Words>
  <Characters>1672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11</cp:revision>
  <dcterms:created xsi:type="dcterms:W3CDTF">2025-01-08T06:17:00Z</dcterms:created>
  <dcterms:modified xsi:type="dcterms:W3CDTF">2025-01-21T06:39:00Z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identifier xml:space="preserve">ID5</w:identifier>
    <w:name xml:space="preserve">Taraflar</w:name>
    <w:value w:hidden="true">
      <w:unit w:active="false"/>
    </w:value>
  </w:element>
  <w:element w:id="6" w:kind="variable" w:type="string" w:valueMode="normal" w:required="false">
    <w:identifier xml:space="preserve">ID6</w:identifier>
    <w:name xml:space="preserve">Xodimning familiyasi, ismi, otasining ismi</w:name>
    <w:value w:hidden="false">
      <w:unit w:active="false"/>
    </w:value>
  </w:element>
  <w:element w:id="7" w:kind="variable" w:type="string" w:valueMode="normal" w:required="false">
    <w:identifier xml:space="preserve">ID7</w:identifier>
    <w:name xml:space="preserve">Tashkilot nomi</w:name>
    <w:value w:hidden="false">
      <w:unit w:active="false"/>
    </w:value>
  </w:element>
  <w:element w:id="8" w:kind="variable" w:type="string" w:valueMode="normal" w:required="false">
    <w:identifier xml:space="preserve">ID8</w:identifier>
    <w:name xml:space="preserve">Xodimning lavozimi</w:name>
    <w:value w:hidden="false">
      <w:unit w:active="false"/>
    </w:value>
  </w:element>
  <w:element w:id="9" w:kind="variable" w:type="string" w:valueMode="normal" w:required="false">
    <w:identifier xml:space="preserve">ID9</w:identifier>
    <w:name xml:space="preserve">Tekshirilishi lozim bo‘lgan ish faoliyati boshlangan sana</w:name>
    <w:value w:hidden="false">
      <w:unit w:active="false"/>
    </w:value>
  </w:element>
  <w:element w:id="10" w:kind="variable" w:type="string" w:valueMode="normal" w:required="false">
    <w:identifier xml:space="preserve">ID10</w:identifier>
    <w:name xml:space="preserve">Tekshirilishi lozim bo‘lgan ish faoliyatining tugash sanasi</w:name>
    <w:value w:hidden="false">
      <w:unit w:active="false"/>
    </w:value>
  </w:element>
  <w:element w:id="11" w:kind="variable" w:type="string" w:valueMode="normal" w:required="false">
    <w:identifier xml:space="preserve">ID11</w:identifier>
    <w:name xml:space="preserve">Xizmat tekshiruvi xulosasi taqdim qilinishi lozim bo‘lgan sana</w:name>
    <w:value w:hidden="false">
      <w:unit w:active="false"/>
    </w:value>
  </w:element>
  <w:element w:id="12" w:kind="variable" w:type="string" w:valueMode="normal" w:required="false">
    <w:identifier xml:space="preserve">ID12</w:identifier>
    <w:name xml:space="preserve">Buyruq chiqargan shaxsning lavozimi</w:name>
    <w:value w:hidden="false">
      <w:unit w:active="false"/>
    </w:value>
  </w:element>
  <w:element w:id="13" w:kind="variable" w:type="string" w:valueMode="normal" w:required="false">
    <w:identifier xml:space="preserve">ID13</w:identifier>
    <w:name xml:space="preserve">Buyruq chiqargan shaxsning F.I.O.si</w:name>
    <w:value w:hidden="false">
      <w:unit w:active="false"/>
    </w:value>
  </w:element>
</w:structure>
</file>