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0"/>
      </w:pPr>
      <w:r>
        <w:rPr>
          <w:b/>
        </w:rPr>
        <w:t xml:space="preserve">B U Y R U Q</w:t>
      </w:r>
    </w:p>
    <w:p/>
    <w:tbl>
      <w:tblPr>
        <w:tblW w:w="0" w:type="auto"/>
      </w:tblPr>
      <w:tblGrid>
        <w:gridCol w:w="3106"/>
        <w:gridCol w:w="3101"/>
        <w:gridCol w:w="3148"/>
      </w:tblGrid>
      <w:tr>
        <w:tc>
          <w:tcPr>
            <w:tcW w:w="3190" w:type="dxa"/>
          </w:tcPr>
          <w:p>
            <w:pPr>
              <w:jc w:val="center"/>
            </w:pPr>
            <w:r>
              <w:rPr>
                <w:vanish w:val="false"/>
              </w:rPr>
              <w:fldChar w:fldCharType="begin"/>
              <w:instrText xml:space="preserve">X {"Y":2,"dateFormat":"dd month yyyyY"}</w:instrText>
              <w:fldChar w:fldCharType="separate"/>
              <w:t xml:space="preserve">Buyruq qabul qilingan sana</w:t>
            </w:r>
            <w:r>
              <w:rPr>
                <w:vanish w:val="false"/>
              </w:rPr>
              <w:fldChar w:fldCharType="end"/>
            </w:r>
          </w:p>
        </w:tc>
        <w:tc>
          <w:tcPr>
            <w:tcW w:w="3190" w:type="dxa"/>
          </w:tcPr>
          <w:p>
            <w:pPr>
              <w:jc w:val="center"/>
            </w:pPr>
            <w:r>
              <w:rPr>
                <w:vanish w:val="false"/>
              </w:rPr>
              <w:fldChar w:fldCharType="begin"/>
              <w:instrText xml:space="preserve">X {"Y":3}</w:instrText>
              <w:fldChar w:fldCharType="separate"/>
              <w:t xml:space="preserve">Buyruq raqami</w:t>
            </w:r>
            <w:r>
              <w:rPr>
                <w:vanish w:val="false"/>
              </w:rPr>
              <w:fldChar w:fldCharType="end"/>
            </w:r>
            <w:r>
              <w:t>-son</w:t>
            </w:r>
          </w:p>
        </w:tc>
        <w:tc>
          <w:tcPr>
            <w:tcW w:w="3190" w:type="dxa"/>
          </w:tcPr>
          <w:p>
            <w:pPr>
              <w:jc w:val="center"/>
            </w:pPr>
            <w:r>
              <w:rPr>
                <w:vanish w:val="false"/>
              </w:rPr>
              <w:fldChar w:fldCharType="begin"/>
              <w:instrText xml:space="preserve">X {"Y":4}</w:instrText>
              <w:fldChar w:fldCharType="separate"/>
              <w:t xml:space="preserve">Buyruq qabul qilingan joy</w:t>
            </w:r>
            <w:r>
              <w:rPr>
                <w:vanish w:val="false"/>
              </w:rPr>
              <w:fldChar w:fldCharType="end"/>
            </w:r>
          </w:p>
          <w:p>
            <w:pPr>
              <w:jc w:val="right"/>
            </w:pPr>
          </w:p>
        </w:tc>
      </w:tr>
    </w:tbl>
    <w:p/>
    <w:p>
      <w:pPr>
        <w:jc w:val="center"/>
        <w:rPr>
          <w:b/>
        </w:rPr>
      </w:pPr>
      <w:r>
        <w:rPr>
          <w:b/>
        </w:rPr>
        <w:t xml:space="preserve">Mehnat taʼtilidan chaqirib olish toʻgʻrisida</w:t>
      </w:r>
    </w:p>
    <w:p/>
    <w:p>
      <w:pPr>
        <w:jc w:val="both"/>
        <w:ind w:firstLine="709"/>
        <w:rPr>
          <w:b/>
        </w:rPr>
      </w:pPr>
      <w:r>
        <w:t xml:space="preserve">Korxonadagi mavjud ishlab chiqarish va mehnat zaruriyatidan kelib chiqib hamda O‘zbekiston Respublikasi Mehnat Kodeksining 232-moddasiga asosan </w:t>
      </w:r>
      <w:r>
        <w:rPr>
          <w:b/>
        </w:rPr>
        <w:t>buyuraman:</w:t>
      </w:r>
    </w:p>
    <w:p>
      <w:pPr>
        <w:pStyle w:val="a5"/>
        <w:jc w:val="both"/>
        <w:ind w:firstLine="678"/>
        <w:spacing w:after="0" w:line="240" w:lineRule="auto"/>
        <w:tabs>
          <w:tab w:val="left" w:pos="708"/>
          <w:tab w:val="center" w:pos="4153"/>
          <w:tab w:val="right" w:pos="8306"/>
        </w:tabs>
        <w:rPr>
          <w:b/>
          <w:sz w:val="24"/>
          <w:rFonts w:ascii="Times New Roman" w:hAnsi="Times New Roman"/>
        </w:rPr>
      </w:pPr>
      <w:r>
        <w:rPr>
          <w:b/>
          <w:sz w:val="24"/>
        </w:rPr>
        <w:t>1. </w:t>
      </w:r>
      <w:r>
        <w:rPr>
          <w:vanish w:val="false"/>
          <w:sz w:val="24"/>
        </w:rPr>
        <w:fldChar w:fldCharType="begin"/>
        <w:instrText xml:space="preserve">X {"Y":9}</w:instrText>
        <w:fldChar w:fldCharType="separate"/>
        <w:t xml:space="preserve">Xodim ishlab turgan tashkilot nomi va uning (tashkilotning) tashkiliy huquqiy shakli</w:t>
      </w:r>
      <w:r>
        <w:rPr>
          <w:vanish w:val="false"/>
          <w:sz w:val="24"/>
        </w:rPr>
        <w:fldChar w:fldCharType="end"/>
      </w:r>
      <w:r>
        <w:rPr>
          <w:sz w:val="24"/>
        </w:rPr>
        <w:t xml:space="preserve"> </w:t>
      </w:r>
      <w:r>
        <w:rPr>
          <w:vanish w:val="false"/>
          <w:sz w:val="24"/>
        </w:rPr>
        <w:fldChar w:fldCharType="begin"/>
        <w:instrText xml:space="preserve">X {"Y":10}</w:instrText>
        <w:fldChar w:fldCharType="separate"/>
        <w:t xml:space="preserve">Xodim ishlayotgan boʻlim (tarkibiy tuzulma) nomi</w:t>
      </w:r>
      <w:r>
        <w:rPr>
          <w:vanish w:val="false"/>
          <w:sz w:val="24"/>
        </w:rPr>
        <w:fldChar w:fldCharType="end"/>
      </w:r>
      <w:r>
        <w:rPr>
          <w:sz w:val="24"/>
        </w:rPr>
        <w:t xml:space="preserve"> boʻlimi </w:t>
      </w:r>
      <w:r>
        <w:rPr>
          <w:vanish w:val="false"/>
          <w:sz w:val="24"/>
        </w:rPr>
        <w:fldChar w:fldCharType="begin"/>
        <w:instrText xml:space="preserve">X {"Y":11}</w:instrText>
        <w:fldChar w:fldCharType="separate"/>
        <w:t xml:space="preserve">Xodimning lavozimi</w:t>
      </w:r>
      <w:r>
        <w:rPr>
          <w:vanish w:val="false"/>
          <w:sz w:val="24"/>
        </w:rPr>
        <w:fldChar w:fldCharType="end"/>
      </w:r>
      <w:r>
        <w:rPr>
          <w:sz w:val="24"/>
        </w:rPr>
        <w:t xml:space="preserve">si </w:t>
      </w:r>
      <w:r>
        <w:rPr>
          <w:b w:val="false"/>
          <w:vanish w:val="false"/>
          <w:sz w:val="24"/>
        </w:rPr>
        <w:fldChar w:fldCharType="begin"/>
        <w:instrText xml:space="preserve">X {"Y":12}</w:instrText>
        <w:fldChar w:fldCharType="separate"/>
        <w:t xml:space="preserve">Xodimning F.I.O.</w:t>
      </w:r>
      <w:r>
        <w:rPr>
          <w:b w:val="false"/>
          <w:vanish w:val="false"/>
          <w:sz w:val="24"/>
        </w:rPr>
        <w:fldChar w:fldCharType="end"/>
      </w:r>
      <w:r>
        <w:rPr>
          <w:b w:val="false"/>
          <w:sz w:val="24"/>
        </w:rPr>
        <w:t xml:space="preserve">ga </w:t>
      </w:r>
      <w:r>
        <w:rPr>
          <w:b w:val="false"/>
          <w:vanish w:val="false"/>
          <w:sz w:val="24"/>
        </w:rPr>
        <w:fldChar w:fldCharType="begin"/>
        <w:instrText xml:space="preserve">X {"Y":14,"dateFormat":"dd month yyyyY"}</w:instrText>
        <w:fldChar w:fldCharType="separate"/>
        <w:t xml:space="preserve">Taʼtil berilishi uchun asos boʻlgan ish yilining boshlanish vaqti</w:t>
      </w:r>
      <w:r>
        <w:rPr>
          <w:b w:val="false"/>
          <w:vanish w:val="false"/>
          <w:sz w:val="24"/>
        </w:rPr>
        <w:fldChar w:fldCharType="end"/>
      </w:r>
      <w:r>
        <w:rPr>
          <w:b w:val="false"/>
          <w:sz w:val="24"/>
        </w:rPr>
        <w:t xml:space="preserve">dan </w:t>
      </w:r>
      <w:r>
        <w:rPr>
          <w:b w:val="false"/>
          <w:vanish w:val="false"/>
          <w:sz w:val="24"/>
        </w:rPr>
        <w:fldChar w:fldCharType="begin"/>
        <w:instrText xml:space="preserve">X {"Y":15,"dateFormat":"dd month yyyyY"}</w:instrText>
        <w:fldChar w:fldCharType="separate"/>
        <w:t xml:space="preserve">Taʼtil berilishi uchun asos boʻlgan ish yilining tugash vaqti</w:t>
      </w:r>
      <w:r>
        <w:rPr>
          <w:b w:val="false"/>
          <w:vanish w:val="false"/>
          <w:sz w:val="24"/>
        </w:rPr>
        <w:fldChar w:fldCharType="end"/>
      </w:r>
      <w:r>
        <w:rPr>
          <w:b w:val="false"/>
          <w:sz w:val="24"/>
        </w:rPr>
        <w:t xml:space="preserve">ga qadar ish davri uchun beril</w:t>
      </w:r>
      <w:r>
        <w:rPr>
          <w:sz w:val="24"/>
        </w:rPr>
        <w:t xml:space="preserve">gan mehnat taʼtilidan </w:t>
      </w:r>
      <w:r>
        <w:rPr>
          <w:vanish w:val="false"/>
          <w:sz w:val="24"/>
        </w:rPr>
        <w:fldChar w:fldCharType="begin"/>
        <w:instrText xml:space="preserve">X {"Y":16,"dateFormat":"dd month yyyyY"}</w:instrText>
        <w:fldChar w:fldCharType="separate"/>
        <w:t xml:space="preserve">Taʼtildagi xodimning taʼtildan chaqirib olinayotgan sanasi</w:t>
      </w:r>
      <w:r>
        <w:rPr>
          <w:vanish w:val="false"/>
          <w:sz w:val="24"/>
        </w:rPr>
        <w:fldChar w:fldCharType="end"/>
      </w:r>
      <w:r>
        <w:rPr>
          <w:sz w:val="24"/>
        </w:rPr>
        <w:t xml:space="preserve"> kunidan, muddatidan avval chaqirib olinsin.</w:t>
      </w:r>
    </w:p>
    <w:p>
      <w:pPr>
        <w:jc w:val="both"/>
        <w:ind w:firstLine="709"/>
      </w:pPr>
      <w:r>
        <w:rPr>
          <w:b/>
        </w:rPr>
        <w:t xml:space="preserve">2. </w:t>
      </w:r>
      <w:r>
        <w:t xml:space="preserve">Taʼtilning foydalanilmay qolgan </w:t>
      </w:r>
      <w:r>
        <w:rPr>
          <w:vanish w:val="false"/>
        </w:rPr>
        <w:fldChar w:fldCharType="begin"/>
        <w:instrText xml:space="preserve">X {"Y":17}</w:instrText>
        <w:fldChar w:fldCharType="separate"/>
        <w:t xml:space="preserve">Xodimning foydalanilmay qolgan mehnat taʼtili necha ish kunini tashkil etadi</w:t>
      </w:r>
      <w:r>
        <w:rPr>
          <w:vanish w:val="false"/>
        </w:rPr>
        <w:fldChar w:fldCharType="end"/>
      </w:r>
      <w:r>
        <w:t xml:space="preserve"> ish kunlik qismi joriy ish yili davomida, oʻzaro muvofiq boʻlgan vaqtda berilishi belgilab qoʻyilsin.</w:t>
      </w:r>
    </w:p>
    <w:p/>
    <w:p>
      <w:pPr>
        <w:jc w:val="both"/>
        <w:ind w:firstLine="678"/>
      </w:pPr>
      <w:r>
        <w:rPr>
          <w:b/>
          <w:rFonts w:ascii="Times New Roman" w:hAnsi="Times New Roman"/>
        </w:rPr>
        <w:t>Asos</w:t>
      </w:r>
      <w:r>
        <w:rPr>
          <w:b w:val="false"/>
        </w:rPr>
        <w:t>:</w:t>
      </w:r>
      <w:r>
        <w:rPr>
          <w:b/>
        </w:rPr>
        <w:t xml:space="preserve"> </w:t>
      </w:r>
      <w:r>
        <w:rPr>
          <w:vanish w:val="false"/>
        </w:rPr>
        <w:fldChar w:fldCharType="begin"/>
        <w:instrText xml:space="preserve">X {"Y":18}</w:instrText>
        <w:fldChar w:fldCharType="separate"/>
        <w:t xml:space="preserve">Buyruqni asoslantiruvchi hujjatlar</w:t>
      </w:r>
      <w:r>
        <w:rPr>
          <w:vanish w:val="false"/>
        </w:rPr>
        <w:fldChar w:fldCharType="end"/>
      </w:r>
    </w:p>
    <w:p/>
    <w:p>
      <w:pPr>
        <w:jc w:val="center"/>
        <w:rPr>
          <w:b/>
        </w:rPr>
      </w:pPr>
      <w:r>
        <w:rPr>
          <w:vanish w:val="false"/>
        </w:rPr>
        <w:fldChar w:fldCharType="begin"/>
        <w:instrText xml:space="preserve">X {"Y":7}</w:instrText>
        <w:fldChar w:fldCharType="separate"/>
        <w:t xml:space="preserve">Buyruqni imzolaydigan shaxs lavozimi</w:t>
      </w:r>
      <w:r>
        <w:rPr>
          <w:vanish w:val="false"/>
        </w:rPr>
        <w:fldChar w:fldCharType="end"/>
      </w:r>
      <w:r>
        <w:rPr>
          <w:b/>
        </w:rPr>
        <w:t xml:space="preserve">       </w:t>
      </w:r>
      <w:r>
        <w:rPr>
          <w:vanish w:val="false"/>
        </w:rPr>
        <w:fldChar w:fldCharType="begin"/>
        <w:instrText xml:space="preserve">X {"Y":8}</w:instrText>
        <w:fldChar w:fldCharType="separate"/>
        <w:t xml:space="preserve">Buyruqni imzolaydigan shaxsning F.I.O.</w:t>
      </w:r>
      <w:r>
        <w:rPr>
          <w:vanish w:val="false"/>
        </w:rPr>
        <w:fldChar w:fldCharType="end"/>
      </w:r>
    </w:p>
    <w:p>
      <w:pPr>
        <w:jc w:val="cente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688"/>
    <w:rsid w:val="00156AE1"/>
    <w:rsid w:val="00157E03"/>
    <w:rsid w:val="00275D8B"/>
    <w:rsid w:val="002B3B93"/>
    <w:rsid w:val="002D0C7B"/>
    <w:rsid w:val="00340D27"/>
    <w:rsid w:val="00571C50"/>
    <w:rsid w:val="00692E2C"/>
    <w:rsid w:val="006A4E3B"/>
    <w:rsid w:val="007F5A40"/>
    <w:rsid w:val="0086046A"/>
    <w:rsid w:val="008709C9"/>
    <w:rsid w:val="009F477D"/>
    <w:rsid w:val="00A359F6"/>
    <w:rsid w:val="00C27538"/>
    <w:rsid w:val="00CC47A8"/>
    <w:rsid w:val="00CF3688"/>
    <w:rsid w:val="00CF75CE"/>
    <w:rsid w:val="00D83903"/>
    <w:rsid w:val="00DA2CF7"/>
    <w:rsid w:val="00EC32EB"/>
    <w:rsid w:val="00F85D17"/>
    <w:rsid w:val="00FB11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8D84A"/>
  <w15:chartTrackingRefBased/>
  <w15:docId w15:val="{6D0790B5-14FD-4E3A-B7E6-BE29F6FAE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3688"/>
    <w:rPr>
      <w:rFonts w:eastAsia="Batang"/>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link w:val="a4"/>
    <w:rsid w:val="00CF3688"/>
    <w:pPr>
      <w:spacing w:after="120"/>
      <w:jc w:val="both"/>
    </w:pPr>
    <w:rPr>
      <w:sz w:val="28"/>
      <w:szCs w:val="28"/>
    </w:rPr>
  </w:style>
  <w:style w:type="character" w:customStyle="1" w:styleId="a4">
    <w:name w:val="Основной текст Знак"/>
    <w:link w:val="a3"/>
    <w:locked/>
    <w:rsid w:val="00CF3688"/>
    <w:rPr>
      <w:rFonts w:eastAsia="Batang"/>
      <w:sz w:val="28"/>
      <w:szCs w:val="28"/>
      <w:lang w:val="ru-RU" w:eastAsia="ru-RU" w:bidi="ar-SA"/>
    </w:rPr>
  </w:style>
  <w:style w:type="paragraph" w:styleId="a5">
    <w:name w:val="header"/>
    <w:aliases w:val="Знак Знак,Знак"/>
    <w:basedOn w:val="a"/>
    <w:link w:val="a6"/>
    <w:autoRedefine/>
    <w:rsid w:val="00CF3688"/>
    <w:pPr>
      <w:spacing w:after="160" w:line="240" w:lineRule="exact"/>
    </w:pPr>
    <w:rPr>
      <w:sz w:val="28"/>
      <w:szCs w:val="20"/>
      <w:lang w:val="en-US" w:eastAsia="en-US"/>
    </w:rPr>
  </w:style>
  <w:style w:type="character" w:customStyle="1" w:styleId="a6">
    <w:name w:val="Верхний колонтитул Знак"/>
    <w:aliases w:val="Знак Знак Знак,Знак Знак1"/>
    <w:link w:val="a5"/>
    <w:locked/>
    <w:rsid w:val="00CF3688"/>
    <w:rPr>
      <w:rFonts w:eastAsia="Batang"/>
      <w:sz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x.uz/docs/1428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296</Words>
  <Characters>1688</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Ходимни меҳнат таътилидан чақириб олиш тўғрисидаги буйруқдан намуна</vt:lpstr>
    </vt:vector>
  </TitlesOfParts>
  <Company>RePack by SPecialiST</Company>
  <LinksUpToDate>false</LinksUpToDate>
  <CharactersWithSpaces>1981</CharactersWithSpaces>
  <SharedDoc>false</SharedDoc>
  <HLinks>
    <vt:vector size="6" baseType="variant">
      <vt:variant>
        <vt:i4>524309</vt:i4>
      </vt:variant>
      <vt:variant>
        <vt:i4>0</vt:i4>
      </vt:variant>
      <vt:variant>
        <vt:i4>0</vt:i4>
      </vt:variant>
      <vt:variant>
        <vt:i4>5</vt:i4>
      </vt:variant>
      <vt:variant>
        <vt:lpwstr>https://lex.uz/docs/142859</vt:lpwstr>
      </vt:variant>
      <vt:variant>
        <vt:lpwstr>144445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Ходимни меҳнат таътилидан чақириб олиш тўғрисидаги буйруқдан намуна</dc:title>
  <dc:subject/>
  <dc:creator>windows Help IT</dc:creator>
  <cp:keywords/>
  <dc:description/>
  <cp:lastModifiedBy>User</cp:lastModifiedBy>
  <cp:revision>2</cp:revision>
  <dcterms:created xsi:type="dcterms:W3CDTF">2021-04-17T08:42:00Z</dcterms:created>
  <dcterms:modified xsi:type="dcterms:W3CDTF">2021-04-17T08:42:00Z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Buyruq rekvizitlari</w:name>
    <w:value w:hidden="true">
      <w:unit w:active="false"/>
    </w:value>
  </w:element>
  <w:element w:id="2" w:kind="variable" w:selector="check" w:type="date" w:valueMode="normal" w:required="false" w:groupID="1">
    <w:identifier xml:space="preserve">ID2</w:identifier>
    <w:name xml:space="preserve">Buyruq qabul qilingan sana</w:name>
    <w:comment xml:space="preserve">(yil, oy, kun koʻrsatiladi)</w:comment>
    <w:value w:hidden="false">
      <w:unit w:active="false"/>
    </w:value>
  </w:element>
  <w:element w:id="3" w:kind="variable" w:selector="check" w:type="number" w:valueMode="normal" w:required="false" w:groupID="1">
    <w:identifier xml:space="preserve">ID3</w:identifier>
    <w:name xml:space="preserve">Buyruq raqami</w:name>
    <w:value w:hidden="false">
      <w:unit w:active="false"/>
    </w:value>
  </w:element>
  <w:element w:id="4" w:kind="variable" w:selector="check" w:type="string" w:valueMode="normal" w:required="false" w:groupID="1">
    <w:identifier xml:space="preserve">ID4</w:identifier>
    <w:name xml:space="preserve">Buyruq qabul qilingan joy</w:name>
    <w:comment xml:space="preserve">(tuman (shahar) nomi koʻrsatiladi)</w:comment>
    <w:value w:hidden="false">
      <w:unit w:active="false"/>
    </w:value>
  </w:element>
  <w:element w:id="5" w:kind="category" w:selector="check" w:type="string" w:valueMode="normal" w:required="false">
    <w:identifier xml:space="preserve">ID5</w:identifier>
    <w:name xml:space="preserve">Taraflar</w:name>
    <w:value w:hidden="true">
      <w:unit w:active="false"/>
    </w:value>
  </w:element>
  <w:element w:id="7" w:kind="variable" w:selector="check" w:type="string" w:valueMode="normal" w:required="false" w:groupID="5">
    <w:identifier xml:space="preserve">ID7</w:identifier>
    <w:name xml:space="preserve">Buyruqni imzolaydigan shaxs lavozimi</w:name>
    <w:value w:hidden="false">
      <w:unit w:active="false"/>
    </w:value>
  </w:element>
  <w:element w:id="8" w:kind="variable" w:selector="check" w:type="string" w:valueMode="normal" w:required="false" w:groupID="5">
    <w:identifier xml:space="preserve">ID8</w:identifier>
    <w:name xml:space="preserve">Buyruqni imzolaydigan shaxsning F.I.O.</w:name>
    <w:value w:hidden="false">
      <w:unit w:active="false"/>
    </w:value>
  </w:element>
  <w:element w:id="9" w:kind="variable" w:selector="check" w:type="string" w:valueMode="normal" w:required="false" w:groupID="5">
    <w:identifier xml:space="preserve">ID9</w:identifier>
    <w:name xml:space="preserve">Xodim ishlab turgan tashkilot nomi va uning (tashkilotning) tashkiliy huquqiy shakli</w:name>
    <w:value w:hidden="false">
      <w:unit w:active="false"/>
    </w:value>
  </w:element>
  <w:element w:id="10" w:kind="variable" w:selector="check" w:type="string" w:valueMode="normal" w:required="false" w:groupID="5">
    <w:identifier xml:space="preserve">ID10</w:identifier>
    <w:name xml:space="preserve">Xodim ishlayotgan boʻlim (tarkibiy tuzulma) nomi</w:name>
    <w:value w:hidden="false">
      <w:unit w:active="false"/>
    </w:value>
  </w:element>
  <w:element w:id="11" w:kind="variable" w:selector="check" w:type="string" w:valueMode="normal" w:required="false" w:groupID="5">
    <w:identifier xml:space="preserve">ID11</w:identifier>
    <w:name xml:space="preserve">Xodimning lavozimi</w:name>
    <w:value w:hidden="false">
      <w:unit w:active="false"/>
    </w:value>
  </w:element>
  <w:element w:id="12" w:kind="variable" w:selector="check" w:type="string" w:valueMode="normal" w:required="false" w:groupID="5">
    <w:identifier xml:space="preserve">ID12</w:identifier>
    <w:name xml:space="preserve">Xodimning F.I.O.</w:name>
    <w:value w:hidden="false">
      <w:unit w:active="false"/>
    </w:value>
  </w:element>
  <w:element w:id="13" w:kind="category" w:selector="check" w:type="string" w:valueMode="normal" w:required="false">
    <w:identifier xml:space="preserve">ID13</w:identifier>
    <w:name xml:space="preserve">Buyruq mazmuni</w:name>
    <w:value w:hidden="true">
      <w:unit w:active="false"/>
    </w:value>
  </w:element>
  <w:element w:id="14" w:kind="variable" w:selector="check" w:type="date" w:valueMode="normal" w:required="false" w:groupID="13">
    <w:identifier xml:space="preserve">ID14</w:identifier>
    <w:name xml:space="preserve">Taʼtil berilishi uchun asos boʻlgan ish yilining boshlanish vaqti</w:name>
    <w:value w:hidden="false">
      <w:unit w:active="false"/>
    </w:value>
  </w:element>
  <w:element w:id="15" w:kind="variable" w:selector="check" w:type="date" w:valueMode="normal" w:required="false" w:groupID="13">
    <w:identifier xml:space="preserve">ID15</w:identifier>
    <w:name xml:space="preserve">Taʼtil berilishi uchun asos boʻlgan ish yilining tugash vaqti</w:name>
    <w:value w:hidden="false">
      <w:unit w:active="false"/>
    </w:value>
  </w:element>
  <w:element w:id="16" w:kind="variable" w:selector="check" w:type="date" w:valueMode="normal" w:required="false" w:groupID="13">
    <w:identifier xml:space="preserve">ID16</w:identifier>
    <w:name xml:space="preserve">Taʼtildagi xodimning taʼtildan chaqirib olinayotgan sanasi</w:name>
    <w:value w:hidden="false">
      <w:unit w:active="false"/>
    </w:value>
  </w:element>
  <w:element w:id="17" w:kind="variable" w:selector="check" w:type="number" w:valueMode="normal" w:required="false" w:groupID="13">
    <w:identifier xml:space="preserve">ID17</w:identifier>
    <w:name xml:space="preserve">Xodimning foydalanilmay qolgan mehnat taʼtili necha ish kunini tashkil etadi</w:name>
    <w:value w:hidden="false">
      <w:unit w:active="false"/>
    </w:value>
  </w:element>
  <w:element w:id="18" w:kind="variable" w:selector="check" w:type="string" w:valueMode="normal" w:required="false" w:groupID="13">
    <w:identifier xml:space="preserve">ID18</w:identifier>
    <w:name xml:space="preserve">Buyruqni asoslantiruvchi hujjatlar</w:name>
    <w:comment xml:space="preserve">Mehnat kodeksiga (https://lex.uz/docs/142859#144445) koʻra, taʼtildan chaqirib olishga faqat xodimning roziligi bilan yoʻl qoʻyiladi. Shu munosabat bilan taʼtilning foydalanilmay qolgan qismi xodimga mazkur ish yili davomida boshqa vaqtda berilishi yoki keyingi ish yilining taʼtiliga qoʻshib qoʻyilishi kerak.</w:comment>
    <w:value w:hidden="false">
      <w:unit w:active="false"/>
    </w:value>
  </w:element>
</w:structure>
</file>