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pBdr>
          <w:bottom w:sz="12" w:space="1" w:color="auto" w:val="single"/>
        </w:pBdr>
        <w:tabs>
          <w:tab w:val="left" w:pos="230"/>
        </w:tabs>
        <w:rPr>
          <w:b/>
        </w:rPr>
      </w:pPr>
      <w:r>
        <w:rPr>
          <w:b/>
        </w:rPr>
        <w:t xml:space="preserve">Xodimni rag‘batlantirish to‘g‘risidagi buyruqdan namuna</w:t>
      </w:r>
    </w:p>
    <w:p>
      <w:pPr>
        <w:jc w:val="center"/>
        <w:tabs>
          <w:tab w:val="left" w:pos="230"/>
        </w:tabs>
        <w:rPr>
          <w:b/>
        </w:rPr>
      </w:pPr>
    </w:p>
    <w:p>
      <w:pPr>
        <w:jc w:val="center"/>
        <w:tabs>
          <w:tab w:val="left" w:pos="230"/>
        </w:tabs>
        <w:rPr>
          <w:b/>
        </w:rPr>
      </w:pPr>
    </w:p>
    <w:p>
      <w:pPr>
        <w:jc w:val="center"/>
        <w:tabs>
          <w:tab w:val="left" w:pos="230"/>
        </w:tabs>
      </w:pPr>
      <w:r>
        <w:rPr>
          <w:b/>
        </w:rPr>
        <w:t xml:space="preserve">B U Y R U Q</w:t>
      </w:r>
    </w:p>
    <w:p>
      <w:pPr>
        <w:jc w:val="center"/>
        <w:tabs>
          <w:tab w:val="left" w:pos="230"/>
        </w:tabs>
      </w:pPr>
    </w:p>
    <w:tbl>
      <w:tblPr>
        <w:tblW w:w="9509" w:type="dxa"/>
      </w:tblPr>
      <w:tblGrid>
        <w:gridCol w:w="3261"/>
        <w:gridCol w:w="3085"/>
        <w:gridCol w:w="3163"/>
      </w:tblGrid>
      <w:tr>
        <w:tc>
          <w:tcPr>
            <w:tcW w:w="3261" w:type="dxa"/>
          </w:tcPr>
          <w:p>
            <w:pPr>
              <w:jc w:val="center"/>
            </w:pPr>
            <w:r>
              <w:rPr>
                <w:vanish w:val="false"/>
              </w:rPr>
              <w:fldChar w:fldCharType="begin"/>
              <w:instrText xml:space="preserve">X {"Y":2}</w:instrText>
              <w:fldChar w:fldCharType="separate"/>
              <w:t xml:space="preserve">Buyruq chiqarilgan sana</w:t>
            </w:r>
            <w:r>
              <w:rPr>
                <w:vanish w:val="false"/>
              </w:rPr>
              <w:fldChar w:fldCharType="end"/>
            </w:r>
          </w:p>
        </w:tc>
        <w:tc>
          <w:tcPr>
            <w:tcW w:w="3085" w:type="dxa"/>
          </w:tcPr>
          <w:p>
            <w:pPr>
              <w:jc w:val="center"/>
            </w:pPr>
            <w:r>
              <w:rPr>
                <w:vanish w:val="false"/>
              </w:rPr>
              <w:fldChar w:fldCharType="begin"/>
              <w:instrText xml:space="preserve">X {"Y":3}</w:instrText>
              <w:fldChar w:fldCharType="separate"/>
              <w:t xml:space="preserve">Buyruq raqami</w:t>
            </w:r>
            <w:r>
              <w:rPr>
                <w:vanish w:val="false"/>
              </w:rPr>
              <w:fldChar w:fldCharType="end"/>
            </w:r>
            <w:r>
              <w:t>-son</w:t>
            </w:r>
          </w:p>
        </w:tc>
        <w:tc>
          <w:tcPr>
            <w:tcW w:w="3163" w:type="dxa"/>
          </w:tcPr>
          <w:p>
            <w:pPr>
              <w:jc w:val="right"/>
            </w:pPr>
            <w:r>
              <w:rPr>
                <w:vanish w:val="false"/>
              </w:rPr>
              <w:fldChar w:fldCharType="begin"/>
              <w:instrText xml:space="preserve">X {"Y":4}</w:instrText>
              <w:fldChar w:fldCharType="separate"/>
              <w:t xml:space="preserve">Buyruq qabul qilingan joy</w:t>
            </w:r>
            <w:r>
              <w:rPr>
                <w:vanish w:val="false"/>
              </w:rPr>
              <w:fldChar w:fldCharType="end"/>
            </w:r>
            <w:r>
              <w:t xml:space="preserve"> sh.</w:t>
            </w:r>
          </w:p>
        </w:tc>
      </w:tr>
    </w:tbl>
    <w:p>
      <w:pPr>
        <w:jc w:val="center"/>
        <w:tabs>
          <w:tab w:val="left" w:pos="230"/>
        </w:tabs>
      </w:pPr>
    </w:p>
    <w:p>
      <w:pPr>
        <w:jc w:val="center"/>
        <w:tabs>
          <w:tab w:val="left" w:pos="230"/>
        </w:tabs>
      </w:pPr>
    </w:p>
    <w:p>
      <w:pPr>
        <w:jc w:val="center"/>
        <w:tabs>
          <w:tab w:val="left" w:pos="230"/>
        </w:tabs>
      </w:pPr>
      <w:r>
        <w:rPr>
          <w:b/>
        </w:rPr>
        <w:t xml:space="preserve">Rag‘batlantirish to‘g‘risida</w:t>
      </w:r>
    </w:p>
    <w:p>
      <w:pPr>
        <w:jc w:val="right"/>
        <w:tabs>
          <w:tab w:val="left" w:pos="230"/>
        </w:tabs>
      </w:pPr>
    </w:p>
    <w:p>
      <w:pPr>
        <w:ind w:firstLine="709"/>
        <w:spacing w:before="120" w:after="120"/>
        <w:rPr>
          <w:rStyle w:val="clausesuff1"/>
          <w:rFonts w:ascii="Times New Roman" w:hAnsi="Times New Roman"/>
        </w:rPr>
      </w:pPr>
      <w:r>
        <w:rPr>
          <w:rStyle w:val="clausesuff1"/>
          <w:rFonts w:ascii="Times New Roman" w:hAnsi="Times New Roman"/>
        </w:rPr>
        <w:t xml:space="preserve">O‘zbekiston Respublikasi Mehnat kodeksining 299-moddasiga binoan,</w:t>
      </w:r>
    </w:p>
    <w:p>
      <w:pPr>
        <w:ind w:firstLine="709"/>
        <w:spacing w:before="120" w:after="120"/>
        <w:rPr>
          <w:rStyle w:val="clausesuff1"/>
          <w:rFonts w:ascii="Times New Roman" w:hAnsi="Times New Roman"/>
        </w:rPr>
      </w:pPr>
      <w:r>
        <w:rPr>
          <w:rStyle w:val="clausesuff1"/>
          <w:rFonts w:ascii="Times New Roman" w:hAnsi="Times New Roman"/>
        </w:rPr>
        <w:t xml:space="preserve">Ishdagi yutuqlar uchun xodimga nisbatan rag‘batlantirish choralari qo‘llanilishi mumkin. Rag‘batlantirish turlari, ularni qo‘llash tartibi jamoa kelishuvlarida, jamoa shartnomasida, ichki mehnat tartibi qoidalari hamda mehnat to‘g‘risidagi boshqa huquqiy hujjatlarda va mehnat shartnomasida belgilanadi.</w:t>
      </w:r>
    </w:p>
    <w:p>
      <w:pPr>
        <w:ind w:firstLine="709"/>
        <w:spacing w:before="120" w:after="120"/>
        <w:rPr>
          <w:rStyle w:val="clausesuff1"/>
          <w:rFonts w:ascii="Times New Roman" w:hAnsi="Times New Roman"/>
        </w:rPr>
      </w:pPr>
      <w:r>
        <w:rPr>
          <w:rStyle w:val="clausesuff1"/>
          <w:rFonts w:ascii="Times New Roman" w:hAnsi="Times New Roman"/>
        </w:rPr>
        <w:t xml:space="preserve">O‘ziga nisbatan intizom haqidagi ustavlar va nizomlarning amal qilishi tatbiq etiladigan xodimlarga nisbatan rag‘batlantirish turlari, ularni qo‘llash tartibi intizom to‘g‘risidagi tegishli ustavlar va nizomlarda belgilanadi.</w:t>
      </w:r>
    </w:p>
    <w:p>
      <w:pPr>
        <w:ind w:firstLine="709"/>
        <w:spacing w:before="120" w:after="120"/>
        <w:rPr>
          <w:rStyle w:val="clausesuff1"/>
          <w:rFonts w:ascii="Times New Roman" w:hAnsi="Times New Roman"/>
        </w:rPr>
      </w:pPr>
      <w:r>
        <w:rPr>
          <w:rStyle w:val="clausesuff1"/>
          <w:rFonts w:ascii="Times New Roman" w:hAnsi="Times New Roman"/>
        </w:rPr>
        <w:t xml:space="preserve">Xodimlar mehnat sohasida jamiyat va davlat oldidagi alohida xizmatlari uchun davlat mukofotlariga taqdim etilishi mumkin.</w:t>
      </w:r>
    </w:p>
    <w:p>
      <w:pPr>
        <w:ind w:firstLine="709"/>
        <w:spacing w:before="120" w:after="120"/>
        <w:rPr>
          <w:rStyle w:val="clausesuff1"/>
          <w:rFonts w:ascii="Times New Roman" w:hAnsi="Times New Roman"/>
        </w:rPr>
      </w:pPr>
      <w:r>
        <w:rPr>
          <w:rStyle w:val="clausesuff1"/>
          <w:rFonts w:ascii="Times New Roman" w:hAnsi="Times New Roman"/>
        </w:rPr>
        <w:t xml:space="preserve">Ish haqi, mukofotlar, qo‘shimcha to‘lovlar, ustamalar va mehnatga haq to‘lash tizimida nazarda tutilgan boshqa to‘lovlar rag‘batlantirish turlari jumlasiga kirmaydi. Intizomiy jazoning amal qilish muddati ichida intizomiy javobgarlikka tortilgan xodimlarga mehnatga haq to‘lash tizimida nazarda tutilgan mukofotlarni to‘lash to‘g‘risidagi masala mukofotlash haqidagi tegishli nizomlarda hal qilinadi.</w:t>
      </w:r>
    </w:p>
    <w:p>
      <w:pPr>
        <w:ind w:firstLine="709"/>
        <w:spacing w:before="120" w:after="120"/>
        <w:rPr>
          <w:rStyle w:val="clausesuff1"/>
          <w:rFonts w:ascii="Times New Roman" w:hAnsi="Times New Roman"/>
        </w:rPr>
      </w:pPr>
      <w:r>
        <w:rPr>
          <w:rStyle w:val="clausesuff1"/>
          <w:rFonts w:ascii="Times New Roman" w:hAnsi="Times New Roman"/>
        </w:rPr>
        <w:t xml:space="preserve">Intizomiy jazoning amal qilish muddati ichida xodimga nisbatan rag‘batlantirish choralari, shu jumladan mehnatga haq to‘lash tizimiga kirmaydigan va mehnat natijalariga asoslanmagan mukofotlar ham (bayramlar, shu jumladan kasb bayramlari, yubileylar munosabati bilan va hokazolar) qo‘llanilmaydi.</w:t>
      </w:r>
    </w:p>
    <w:p>
      <w:pPr>
        <w:ind w:firstLine="709"/>
        <w:spacing w:before="120" w:after="120"/>
      </w:pPr>
      <w:r>
        <w:t xml:space="preserve">Mehnat kodeksining mazkur moddasiga binoan, </w:t>
      </w:r>
    </w:p>
    <w:p>
      <w:pPr>
        <w:jc w:val="center"/>
        <w:spacing w:after="160" w:line="259" w:lineRule="auto"/>
        <w:rPr>
          <w:b/>
        </w:rPr>
      </w:pPr>
      <w:bookmarkStart w:id="0" w:name="_GoBack"/>
      <w:r>
        <w:rPr>
          <w:b/>
        </w:rPr>
        <w:t>BUYURAMAN</w:t>
      </w:r>
      <w:bookmarkEnd w:id="0"/>
    </w:p>
    <w:p>
      <w:pPr>
        <w:ind w:firstLine="709"/>
        <w:spacing w:before="120" w:after="120"/>
      </w:pPr>
      <w:r>
        <w:rPr>
          <w:rStyle w:val="clausesuff1"/>
          <w:rFonts w:ascii="Times New Roman" w:hAnsi="Times New Roman"/>
        </w:rPr>
        <w:t xml:space="preserve">1. </w:t>
      </w:r>
      <w:r>
        <w:rPr>
          <w:rStyle w:val="clausesuff1"/>
          <w:rFonts w:ascii="Times New Roman" w:hAnsi="Times New Roman"/>
        </w:rPr>
        <w:fldChar w:fldCharType="begin"/>
        <w:instrText xml:space="preserve">X {"Y":7}</w:instrText>
        <w:fldChar w:fldCharType="separate"/>
        <w:t xml:space="preserve">Xodim ishlab turgan tashkilot nomi va uning (tashkilotning) tashkiliy huquqiy shakli</w:t>
      </w:r>
      <w:r>
        <w:rPr>
          <w:rStyle w:val="clausesuff1"/>
          <w:rFonts w:ascii="Times New Roman" w:hAnsi="Times New Roman"/>
        </w:rPr>
        <w:fldChar w:fldCharType="end"/>
      </w:r>
      <w:r>
        <w:t xml:space="preserve">ning </w:t>
      </w:r>
      <w:r>
        <w:rPr>
          <w:vanish w:val="false"/>
        </w:rPr>
        <w:fldChar w:fldCharType="begin"/>
        <w:instrText xml:space="preserve">X {"Y":8}</w:instrText>
        <w:fldChar w:fldCharType="separate"/>
        <w:t xml:space="preserve">Xodim ishlayotgan bo‘lim (tarkibiy tuzulma) nomi</w:t>
      </w:r>
      <w:r>
        <w:rPr>
          <w:vanish w:val="false"/>
        </w:rPr>
        <w:fldChar w:fldCharType="end"/>
      </w:r>
      <w:r>
        <w:t xml:space="preserve"> bo‘limida </w:t>
      </w:r>
      <w:r>
        <w:rPr>
          <w:vanish w:val="false"/>
        </w:rPr>
        <w:fldChar w:fldCharType="begin"/>
        <w:instrText xml:space="preserve">X {"Y":9}</w:instrText>
        <w:fldChar w:fldCharType="separate"/>
        <w:t xml:space="preserve">Xodimning lavozimi</w:t>
      </w:r>
      <w:r>
        <w:rPr>
          <w:vanish w:val="false"/>
        </w:rPr>
        <w:fldChar w:fldCharType="end"/>
      </w:r>
      <w:r>
        <w:t xml:space="preserve"> lavozimida mehnat foliyatini yuritayotgan </w:t>
      </w:r>
      <w:r>
        <w:rPr>
          <w:vanish w:val="false"/>
        </w:rPr>
        <w:fldChar w:fldCharType="begin"/>
        <w:instrText xml:space="preserve">X {"Y":10}</w:instrText>
        <w:fldChar w:fldCharType="separate"/>
        <w:t xml:space="preserve">Xodimning F.I.O.si</w:t>
      </w:r>
      <w:r>
        <w:rPr>
          <w:vanish w:val="false"/>
        </w:rPr>
        <w:fldChar w:fldCharType="end"/>
      </w:r>
      <w:r>
        <w:t xml:space="preserve">, uzoq yillardan beri samarali mehnat faoliyatini yuritib kelayotganligi, mazkur faoliyati davomida berilgan topshiriqlarni o‘z vaqtida bajarib, ichki-mehnat tartib qoidalariga og‘ishmasdan rioya qilayotganligini e’tiborga olib hamda yubiley 50 yoshga to‘lganligi munosabati bilan, </w:t>
      </w:r>
      <w:r>
        <w:rPr>
          <w:vanish w:val="false"/>
        </w:rPr>
        <w:fldChar w:fldCharType="begin"/>
        <w:instrText xml:space="preserve">X {"Y":14}</w:instrText>
        <w:fldChar w:fldCharType="separate"/>
        <w:t xml:space="preserve">Xodimni mukofotlash turi</w:t>
      </w:r>
      <w:r>
        <w:rPr>
          <w:vanish w:val="false"/>
        </w:rPr>
        <w:fldChar w:fldCharType="end"/>
      </w:r>
      <w:r>
        <w:t xml:space="preserve"> e’lon qilinsin hamda bir martalik </w:t>
      </w:r>
      <w:r>
        <w:rPr>
          <w:vanish w:val="false"/>
        </w:rPr>
        <w:fldChar w:fldCharType="begin"/>
        <w:instrText xml:space="preserve">X {"Y":16}</w:instrText>
        <w:fldChar w:fldCharType="separate"/>
      </w:r>
      <w:r>
        <w:rPr>
          <w:vanish w:val="false"/>
        </w:rPr>
        <w:t xml:space="preserve">Xodimga berilgan pul miqdori</w:t>
        <w:fldChar w:fldCharType="end"/>
      </w:r>
      <w:r>
        <w:t xml:space="preserve"> miqdordagi pullik mukofot berilsin. </w:t>
      </w:r>
    </w:p>
    <w:p>
      <w:pPr>
        <w:ind w:firstLine="709"/>
        <w:spacing w:before="120" w:after="120"/>
      </w:pPr>
      <w:r>
        <w:rPr>
          <w:vanish w:val="false"/>
        </w:rPr>
        <w:t xml:space="preserve">2. Moliya iqtisod bo‘limi tegishli to‘lovlarni amalga oshirsin</w:t>
      </w:r>
    </w:p>
    <w:p>
      <w:pPr>
        <w:ind w:firstLine="708"/>
      </w:pPr>
      <w:r>
        <w:rPr>
          <w:b/>
          <w:vanish w:val="false"/>
          <w:rFonts w:ascii="Times New Roman" w:hAnsi="Times New Roman"/>
        </w:rPr>
        <w:t>Asos:</w:t>
      </w:r>
      <w:r>
        <w:rPr>
          <w:vanish w:val="false"/>
        </w:rPr>
        <w:t xml:space="preserve"> </w:t>
      </w:r>
      <w:r>
        <w:rPr>
          <w:vanish w:val="false"/>
          <w:rFonts w:ascii="Times New Roman" w:hAnsi="Times New Roman"/>
        </w:rPr>
        <w:fldChar w:fldCharType="begin"/>
        <w:instrText xml:space="preserve">X {"Y":15}</w:instrText>
        <w:fldChar w:fldCharType="separate"/>
        <w:t xml:space="preserve">Buyruqni asoslantiruvchi hujjatlar</w:t>
      </w:r>
      <w:r>
        <w:rPr>
          <w:vanish w:val="false"/>
          <w:rFonts w:ascii="Times New Roman" w:hAnsi="Times New Roman"/>
        </w:rPr>
        <w:fldChar w:fldCharType="end"/>
      </w:r>
    </w:p>
    <w:p>
      <w:pPr>
        <w:jc w:val="center"/>
        <w:rPr>
          <w:b/>
        </w:rPr>
      </w:pPr>
      <w:r>
        <w:rPr>
          <w:vanish w:val="false"/>
        </w:rPr>
      </w:r>
    </w:p>
    <w:tbl>
      <w:tblPr>
        <w:tblW w:w="0" w:type="auto"/>
      </w:tblPr>
      <w:tblGrid>
        <w:gridCol w:w="4001"/>
        <w:gridCol w:w="2723"/>
        <w:gridCol w:w="2631"/>
      </w:tblGrid>
      <w:tr>
        <w:tc>
          <w:tcPr>
            <w:tcW w:w="4126" w:type="dxa"/>
          </w:tcPr>
          <w:p>
            <w:pPr>
              <w:jc w:val="center"/>
            </w:pPr>
            <w:r>
              <w:rPr>
                <w:vanish w:val="false"/>
              </w:rPr>
              <w:fldChar w:fldCharType="begin"/>
              <w:instrText xml:space="preserve">X {"Y":11}</w:instrText>
              <w:fldChar w:fldCharType="separate"/>
              <w:t xml:space="preserve">Buyruq chiqargan shaxsning lavozimi</w:t>
            </w:r>
            <w:r>
              <w:rPr>
                <w:vanish w:val="false"/>
              </w:rPr>
              <w:fldChar w:fldCharType="end"/>
            </w:r>
          </w:p>
        </w:tc>
        <w:tc>
          <w:tcPr>
            <w:tcW w:w="2757" w:type="dxa"/>
          </w:tcPr>
          <w:p>
            <w:pPr>
              <w:jc w:val="center"/>
              <w:rPr>
                <w:b/>
              </w:rPr>
            </w:pPr>
            <w:r>
              <w:rPr>
                <w:b/>
                <w:vanish w:val="false"/>
                <w:rFonts w:ascii="Times New Roman" w:hAnsi="Times New Roman"/>
              </w:rPr>
              <w:t>_____________</w:t>
            </w:r>
          </w:p>
          <w:p>
            <w:pPr>
              <w:jc w:val="center"/>
            </w:pPr>
            <w:r>
              <w:rPr>
                <w:vanish w:val="false"/>
              </w:rPr>
              <w:t>(imzo)</w:t>
            </w:r>
          </w:p>
        </w:tc>
        <w:tc>
          <w:tcPr>
            <w:tcW w:w="2687" w:type="dxa"/>
          </w:tcPr>
          <w:p>
            <w:pPr>
              <w:jc w:val="right"/>
            </w:pPr>
            <w:r>
              <w:rPr>
                <w:vanish w:val="false"/>
              </w:rPr>
              <w:fldChar w:fldCharType="begin"/>
              <w:instrText xml:space="preserve">X {"Y":12}</w:instrText>
              <w:fldChar w:fldCharType="separate"/>
              <w:t xml:space="preserve">Buyruq chiqargan shaxsning F.I.O.si</w:t>
            </w:r>
            <w:r>
              <w:rPr>
                <w:vanish w:val="false"/>
              </w:rPr>
              <w:fldChar w:fldCharType="end"/>
            </w:r>
          </w:p>
          <w:p>
            <w:pPr>
              <w:jc w:val="center"/>
            </w:pPr>
            <w:r>
              <w:rPr>
                <w:vanish w:val="false"/>
              </w:rPr>
            </w:r>
          </w:p>
        </w:tc>
      </w:tr>
      <w:tr>
        <w:tc>
          <w:tcPr>
            <w:tcW w:w="4126" w:type="dxa"/>
          </w:tcPr>
          <w:p>
            <w:pPr>
              <w:jc w:val="right"/>
              <w:rPr>
                <w:b/>
              </w:rPr>
            </w:pPr>
            <w:r>
              <w:rPr>
                <w:vanish w:val="false"/>
              </w:rPr>
            </w:r>
          </w:p>
        </w:tc>
        <w:tc>
          <w:tcPr>
            <w:tcW w:w="2757" w:type="dxa"/>
          </w:tcPr>
          <w:p>
            <w:pPr>
              <w:jc w:val="center"/>
              <w:rPr>
                <w:b/>
              </w:rPr>
            </w:pPr>
            <w:r>
              <w:rPr>
                <w:vanish w:val="false"/>
              </w:rPr>
            </w:r>
          </w:p>
        </w:tc>
        <w:tc>
          <w:tcPr>
            <w:tcW w:w="2687" w:type="dxa"/>
          </w:tcPr>
          <w:p>
            <w:pPr>
              <w:jc w:val="right"/>
            </w:pPr>
            <w:r>
              <w:rPr>
                <w:vanish w:val="false"/>
              </w:rPr>
            </w:r>
          </w:p>
        </w:tc>
      </w:tr>
      <w:tr>
        <w:tc>
          <w:tcPr>
            <w:tcW w:w="4126" w:type="dxa"/>
          </w:tcPr>
          <w:p>
            <w:pPr>
              <w:jc w:val="right"/>
              <w:rPr>
                <w:b/>
              </w:rPr>
            </w:pPr>
            <w:r>
              <w:rPr>
                <w:b/>
                <w:vanish w:val="false"/>
                <w:rFonts w:ascii="Times New Roman" w:hAnsi="Times New Roman"/>
              </w:rPr>
              <w:t xml:space="preserve">Buyruq bilan tanishdim</w:t>
            </w:r>
          </w:p>
          <w:p>
            <w:pPr>
              <w:jc w:val="left"/>
              <w:spacing w:after="160" w:line="259" w:lineRule="auto"/>
            </w:pPr>
            <w:r>
              <w:rPr>
                <w:vanish w:val="false"/>
              </w:rPr>
              <w:fldChar w:fldCharType="begin"/>
              <w:instrText xml:space="preserve">X {"Y":9}</w:instrText>
              <w:fldChar w:fldCharType="separate"/>
              <w:t xml:space="preserve">Xodimning lavozimi</w:t>
            </w:r>
            <w:r>
              <w:rPr>
                <w:vanish w:val="false"/>
              </w:rPr>
              <w:fldChar w:fldCharType="end"/>
            </w:r>
          </w:p>
        </w:tc>
        <w:tc>
          <w:tcPr>
            <w:tcW w:w="2757" w:type="dxa"/>
          </w:tcPr>
          <w:p>
            <w:pPr>
              <w:jc w:val="center"/>
              <w:rPr>
                <w:b/>
              </w:rPr>
            </w:pPr>
            <w:r>
              <w:rPr>
                <w:vanish w:val="false"/>
              </w:rPr>
            </w:r>
          </w:p>
          <w:p>
            <w:pPr>
              <w:jc w:val="center"/>
              <w:rPr>
                <w:b/>
              </w:rPr>
            </w:pPr>
            <w:r>
              <w:rPr>
                <w:b/>
                <w:vanish w:val="false"/>
                <w:rFonts w:ascii="Times New Roman" w:hAnsi="Times New Roman"/>
              </w:rPr>
              <w:t>_____________</w:t>
            </w:r>
          </w:p>
          <w:p>
            <w:pPr>
              <w:jc w:val="center"/>
            </w:pPr>
            <w:r>
              <w:rPr>
                <w:vanish w:val="false"/>
              </w:rPr>
              <w:t xml:space="preserve">(xodim imzosi)</w:t>
            </w:r>
          </w:p>
        </w:tc>
        <w:tc>
          <w:tcPr>
            <w:tcW w:w="2687" w:type="dxa"/>
          </w:tcPr>
          <w:p>
            <w:pPr>
              <w:jc w:val="right"/>
            </w:pPr>
            <w:r>
              <w:rPr>
                <w:vanish w:val="false"/>
              </w:rPr>
            </w:r>
          </w:p>
          <w:p>
            <w:pPr>
              <w:jc w:val="right"/>
            </w:pPr>
            <w:r>
              <w:rPr>
                <w:vanish w:val="false"/>
              </w:rPr>
              <w:fldChar w:fldCharType="begin"/>
              <w:instrText xml:space="preserve">X {"Y":10}</w:instrText>
              <w:fldChar w:fldCharType="separate"/>
              <w:t xml:space="preserve">Xodimning F.I.O.si</w:t>
            </w:r>
            <w:r>
              <w:rPr>
                <w:vanish w:val="false"/>
              </w:rPr>
              <w:fldChar w:fldCharType="end"/>
            </w:r>
          </w:p>
          <w:p>
            <w:pPr>
              <w:jc w:val="center"/>
            </w:pPr>
            <w:r>
              <w:rPr>
                <w:vanish w:val="false"/>
              </w:rPr>
            </w:r>
          </w:p>
        </w:tc>
      </w:tr>
    </w:tbl>
    <w:p>
      <w:pPr>
        <w:tabs>
          <w:tab w:val="left" w:pos="230"/>
        </w:tabs>
      </w:pPr>
      <w:r>
        <w:rPr>
          <w:vanish w:val="false"/>
        </w:rPr>
      </w:r>
    </w:p>
    <w:p>
      <w:r>
        <w:rPr>
          <w:vanish w:val="false"/>
        </w:rPr>
      </w:r>
    </w:p>
    <w:p>
      <w:pPr>
        <w:ind w:firstLine="567"/>
        <w:rPr>
          <w:b/>
        </w:rPr>
      </w:pPr>
      <w:r>
        <w:rPr>
          <w:vanish w:val="false"/>
        </w:rPr>
      </w: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2E70"/>
    <w:rsid w:val="00080932"/>
    <w:rsid w:val="001A0E8B"/>
    <w:rsid w:val="00374FA6"/>
    <w:rsid w:val="00431B4D"/>
    <w:rsid w:val="004D56BE"/>
    <w:rsid w:val="00711623"/>
    <w:rsid w:val="00826132"/>
    <w:rsid w:val="00833802"/>
    <w:rsid w:val="00942E70"/>
    <w:rsid w:val="00976597"/>
    <w:rsid w:val="009A00E8"/>
    <w:rsid w:val="00C17DC2"/>
    <w:rsid w:val="00CF21D8"/>
    <w:rsid w:val="00DF2381"/>
    <w:rsid w:val="00DF4A4C"/>
    <w:rsid w:val="00E46B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D386E3-7A6A-4889-A83C-52C14ACE9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31B4D"/>
    <w:pPr>
      <w:spacing w:after="0" w:line="240" w:lineRule="auto"/>
      <w:jc w:val="both"/>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lausesuff1">
    <w:name w:val="clausesuff1"/>
    <w:rsid w:val="00431B4D"/>
    <w:rPr>
      <w:rFonts w:ascii="Calibri" w:eastAsia="Calibri" w:hAnsi="Calibri" w:cs="Times New Roman"/>
      <w:vanish w:val="0"/>
      <w:webHidden w:val="0"/>
      <w:specVanish w:val="0"/>
    </w:rPr>
  </w:style>
  <w:style w:type="paragraph" w:styleId="a3">
    <w:name w:val="List Paragraph"/>
    <w:basedOn w:val="a"/>
    <w:uiPriority w:val="34"/>
    <w:qFormat/>
    <w:rsid w:val="00DF4A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3067511">
      <w:bodyDiv w:val="1"/>
      <w:marLeft w:val="0"/>
      <w:marRight w:val="0"/>
      <w:marTop w:val="0"/>
      <w:marBottom w:val="0"/>
      <w:divBdr>
        <w:top w:val="none" w:sz="0" w:space="0" w:color="auto"/>
        <w:left w:val="none" w:sz="0" w:space="0" w:color="auto"/>
        <w:bottom w:val="none" w:sz="0" w:space="0" w:color="auto"/>
        <w:right w:val="none" w:sz="0" w:space="0" w:color="auto"/>
      </w:divBdr>
      <w:divsChild>
        <w:div w:id="1019045984">
          <w:marLeft w:val="0"/>
          <w:marRight w:val="0"/>
          <w:marTop w:val="0"/>
          <w:marBottom w:val="150"/>
          <w:divBdr>
            <w:top w:val="none" w:sz="0" w:space="0" w:color="auto"/>
            <w:left w:val="none" w:sz="0" w:space="0" w:color="auto"/>
            <w:bottom w:val="none" w:sz="0" w:space="0" w:color="auto"/>
            <w:right w:val="none" w:sz="0" w:space="0" w:color="auto"/>
          </w:divBdr>
        </w:div>
        <w:div w:id="1528369467">
          <w:marLeft w:val="0"/>
          <w:marRight w:val="0"/>
          <w:marTop w:val="0"/>
          <w:marBottom w:val="150"/>
          <w:divBdr>
            <w:top w:val="none" w:sz="0" w:space="0" w:color="auto"/>
            <w:left w:val="none" w:sz="0" w:space="0" w:color="auto"/>
            <w:bottom w:val="none" w:sz="0" w:space="0" w:color="auto"/>
            <w:right w:val="none" w:sz="0" w:space="0" w:color="auto"/>
          </w:divBdr>
        </w:div>
        <w:div w:id="2137795127">
          <w:marLeft w:val="0"/>
          <w:marRight w:val="0"/>
          <w:marTop w:val="0"/>
          <w:marBottom w:val="150"/>
          <w:divBdr>
            <w:top w:val="none" w:sz="0" w:space="0" w:color="auto"/>
            <w:left w:val="none" w:sz="0" w:space="0" w:color="auto"/>
            <w:bottom w:val="none" w:sz="0" w:space="0" w:color="auto"/>
            <w:right w:val="none" w:sz="0" w:space="0" w:color="auto"/>
          </w:divBdr>
        </w:div>
        <w:div w:id="351299335">
          <w:marLeft w:val="0"/>
          <w:marRight w:val="0"/>
          <w:marTop w:val="0"/>
          <w:marBottom w:val="150"/>
          <w:divBdr>
            <w:top w:val="none" w:sz="0" w:space="0" w:color="auto"/>
            <w:left w:val="none" w:sz="0" w:space="0" w:color="auto"/>
            <w:bottom w:val="none" w:sz="0" w:space="0" w:color="auto"/>
            <w:right w:val="none" w:sz="0" w:space="0" w:color="auto"/>
          </w:divBdr>
        </w:div>
        <w:div w:id="254170503">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452</Words>
  <Characters>2580</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Shakarboy G'oyibnazarov</dc:creator>
  <cp:keywords/>
  <dc:description/>
  <cp:lastModifiedBy>Shakarboy G'oyibnazarov</cp:lastModifiedBy>
  <cp:revision>2</cp:revision>
  <dcterms:created xsi:type="dcterms:W3CDTF">2024-02-22T10:00:00Z</dcterms:created>
  <dcterms:modified xsi:type="dcterms:W3CDTF">2024-02-22T10:00:00Z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Xodimni rag‘batlantirish to‘g‘risidagi buyruq rekvizitlari</w:name>
    <w:value w:hidden="true">
      <w:unit w:active="false"/>
    </w:value>
  </w:element>
  <w:element w:id="2" w:kind="variable" w:selector="check" w:type="string" w:valueMode="normal" w:required="false" w:groupID="1">
    <w:identifier xml:space="preserve">ID2</w:identifier>
    <w:name xml:space="preserve">Buyruq chiqarilgan sana</w:name>
    <w:value w:hidden="false">
      <w:unit w:active="false"/>
    </w:value>
  </w:element>
  <w:element w:id="3" w:kind="variable" w:selector="check" w:type="string" w:valueMode="normal" w:required="false" w:groupID="1">
    <w:identifier xml:space="preserve">ID3</w:identifier>
    <w:name xml:space="preserve">Buyruq raqami</w:name>
    <w:value w:hidden="false">
      <w:unit w:active="false"/>
    </w:value>
  </w:element>
  <w:element w:id="4" w:kind="variable" w:selector="check" w:type="string" w:valueMode="normal" w:required="false" w:groupID="1">
    <w:identifier xml:space="preserve">ID4</w:identifier>
    <w:name xml:space="preserve">Buyruq qabul qilingan joy</w:name>
    <w:value w:hidden="false">
      <w:unit w:active="false"/>
    </w:value>
  </w:element>
  <w:element w:id="6" w:kind="category" w:selector="check" w:type="string" w:valueMode="normal" w:required="false">
    <w:identifier xml:space="preserve">ID6</w:identifier>
    <w:name xml:space="preserve">Taraflar</w:name>
    <w:value w:hidden="true">
      <w:unit w:active="false"/>
    </w:value>
  </w:element>
  <w:element w:id="7" w:kind="variable" w:selector="check" w:type="string" w:valueMode="normal" w:required="false" w:groupID="6">
    <w:identifier xml:space="preserve">ID7</w:identifier>
    <w:name xml:space="preserve">Xodim ishlab turgan tashkilot nomi va uning (tashkilotning) tashkiliy huquqiy shakli</w:name>
    <w:value w:hidden="false">
      <w:unit w:active="false"/>
    </w:value>
  </w:element>
  <w:element w:id="8" w:kind="variable" w:selector="check" w:type="string" w:valueMode="normal" w:required="false" w:groupID="6">
    <w:identifier xml:space="preserve">ID8</w:identifier>
    <w:name xml:space="preserve">Xodim ishlayotgan bo‘lim (tarkibiy tuzulma) nomi</w:name>
    <w:value w:hidden="false">
      <w:unit w:active="false"/>
    </w:value>
  </w:element>
  <w:element w:id="9" w:kind="variable" w:selector="check" w:type="string" w:valueMode="normal" w:required="false" w:groupID="6">
    <w:identifier xml:space="preserve">ID9</w:identifier>
    <w:name xml:space="preserve">Xodimning lavozimi</w:name>
    <w:value w:hidden="false">
      <w:unit w:active="false"/>
    </w:value>
  </w:element>
  <w:element w:id="10" w:kind="variable" w:selector="check" w:type="string" w:valueMode="normal" w:required="false" w:groupID="6">
    <w:identifier xml:space="preserve">ID10</w:identifier>
    <w:name xml:space="preserve">Xodimning F.I.O.si</w:name>
    <w:value w:hidden="false">
      <w:unit w:active="false"/>
    </w:value>
  </w:element>
  <w:element w:id="11" w:kind="variable" w:selector="check" w:type="string" w:valueMode="normal" w:required="false" w:groupID="6">
    <w:identifier xml:space="preserve">ID11</w:identifier>
    <w:name xml:space="preserve">Buyruq chiqargan shaxsning lavozimi</w:name>
    <w:value w:hidden="false">
      <w:unit w:active="false"/>
    </w:value>
  </w:element>
  <w:element w:id="12" w:kind="variable" w:selector="check" w:type="string" w:valueMode="normal" w:required="false" w:groupID="6">
    <w:identifier xml:space="preserve">ID12</w:identifier>
    <w:name xml:space="preserve">Buyruq chiqargan shaxsning F.I.O.si</w:name>
    <w:value w:hidden="false">
      <w:unit w:active="false"/>
    </w:value>
  </w:element>
  <w:element w:id="13" w:kind="category" w:selector="check" w:type="string" w:valueMode="normal" w:required="false">
    <w:identifier xml:space="preserve">ID13</w:identifier>
    <w:name xml:space="preserve">Ariza mazmuni</w:name>
    <w:value w:hidden="true">
      <w:unit w:active="false"/>
    </w:value>
  </w:element>
  <w:element w:id="14" w:kind="variable" w:selector="check" w:type="string" w:valueMode="normal" w:required="false" w:groupID="13">
    <w:identifier xml:space="preserve">ID14</w:identifier>
    <w:name xml:space="preserve">Xodimni mukofotlash turi</w:name>
    <w:value w:hidden="false">
      <w:unit w:active="false"/>
    </w:value>
  </w:element>
  <w:element w:id="15" w:kind="variable" w:selector="check" w:type="string" w:valueMode="normal" w:required="false" w:groupID="13">
    <w:identifier xml:space="preserve">ID15</w:identifier>
    <w:name xml:space="preserve">Buyruqni asoslantiruvchi hujjatlar</w:name>
    <w:value w:hidden="false">
      <w:unit w:active="false"/>
    </w:value>
  </w:element>
  <w:element w:id="16" w:kind="variable" w:selector="check" w:type="string" w:valueMode="normal" w:required="false" w:groupID="13">
    <w:identifier xml:space="preserve">ID16</w:identifier>
    <w:name xml:space="preserve">Xodimga berilgan pul miqdori</w:name>
    <w:value w:hidden="false">
      <w:unit w:active="false"/>
    </w:value>
  </w:element>
</w:structure>
</file>