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sz w:val="28"/>
          <w:rFonts w:ascii="Times New Roman" w:hAnsi="Times New Roman"/>
        </w:rPr>
        <w:t xml:space="preserve">Xususiy universtitet va “Talaba” oʻrtasidagi</w:t>
      </w:r>
    </w:p>
    <w:p>
      <w:pPr>
        <w:jc w:val="center"/>
        <w:ind w:firstLine="425"/>
        <w:spacing w:after="0" w:line="288" w:lineRule="auto"/>
        <w:rPr>
          <w:b/>
          <w:sz w:val="28"/>
          <w:rFonts w:ascii="Times New Roman" w:hAnsi="Times New Roman"/>
        </w:rPr>
      </w:pPr>
      <w:r>
        <w:rPr>
          <w:b/>
          <w:sz w:val="28"/>
          <w:rFonts w:ascii="Times New Roman" w:hAnsi="Times New Roman"/>
        </w:rPr>
        <w:t>SHARTNOMA</w:t>
      </w:r>
    </w:p>
    <w:p>
      <w:pPr>
        <w:jc w:val="both"/>
        <w:ind w:firstLine="425"/>
        <w:spacing w:after="0" w:line="288" w:lineRule="auto"/>
        <w:rPr>
          <w:sz w:val="24"/>
          <w:rFonts w:ascii="Times New Roman" w:hAnsi="Times New Roman"/>
        </w:rPr>
      </w:pPr>
    </w:p>
    <w:tbl>
      <w:tblPr>
        <w:tblW w:w="9634" w:type="dxa"/>
      </w:tblPr>
      <w:tblGrid>
        <w:gridCol w:w="3115"/>
        <w:gridCol w:w="3115"/>
        <w:gridCol w:w="3404"/>
      </w:tblGrid>
      <w:tr>
        <w:tc>
          <w:tcPr>
            <w:tcW w:w="3115" w:type="dxa"/>
            <w:shd w:fill="auto"/>
          </w:tcPr>
          <w:p>
            <w:pPr>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w:t>
              <w:fldChar w:fldCharType="end"/>
            </w:r>
          </w:p>
        </w:tc>
        <w:tc>
          <w:tcPr>
            <w:tcW w:w="3115" w:type="dxa"/>
            <w:shd w:fill="auto"/>
          </w:tcPr>
          <w:p>
            <w:pPr>
              <w:jc w:val="center"/>
              <w:spacing w:line="288"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r>
              <w:rPr>
                <w:sz w:val="28"/>
                <w:rFonts w:ascii="Times New Roman" w:hAnsi="Times New Roman"/>
                <w:position w:val="-1"/>
              </w:rPr>
              <w:t>-son</w:t>
            </w:r>
          </w:p>
        </w:tc>
        <w:tc>
          <w:tcPr>
            <w:tcW w:w="3404" w:type="dxa"/>
            <w:shd w:fill="auto"/>
          </w:tcPr>
          <w:p>
            <w:pPr>
              <w:jc w:val="right"/>
              <w:ind w:firstLine="31"/>
              <w:spacing w:line="288" w:lineRule="auto"/>
              <w:rPr>
                <w:b/>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w:t>
              <w:fldChar w:fldCharType="end"/>
            </w:r>
          </w:p>
        </w:tc>
      </w:tr>
    </w:tbl>
    <w:p>
      <w:pPr>
        <w:jc w:val="both"/>
        <w:ind w:firstLine="425"/>
        <w:spacing w:after="0" w:line="288" w:lineRule="auto"/>
        <w:rPr>
          <w:sz w:val="24"/>
          <w:rFonts w:ascii="Times New Roman" w:hAnsi="Times New Roman"/>
        </w:rPr>
      </w:pP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Universtitetning nomi, tashkiliy huquqiy shakli</w:t>
        <w:fldChar w:fldCharType="end"/>
      </w:r>
      <w:r>
        <w:rPr>
          <w:sz w:val="28"/>
          <w:rFonts w:ascii="Times New Roman" w:hAnsi="Times New Roman"/>
        </w:rPr>
        <w:t xml:space="preserve"> (keyingi oʻrinlarda “Universtitet” deb ataladi) nomidan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Universtitetga shartnoma tuzish huquqini beruvchi hujjat</w:t>
        <w:fldChar w:fldCharType="end"/>
      </w:r>
      <w:r>
        <w:rPr>
          <w:sz w:val="28"/>
          <w:rFonts w:ascii="Times New Roman" w:hAnsi="Times New Roman"/>
        </w:rPr>
        <w:t xml:space="preserve"> asosida harakat qiluvchi rektori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Universtitet tomonidan imzo chekuvchi shaxsning lavozimi va F.I.O.si</w:t>
        <w:fldChar w:fldCharType="end"/>
      </w:r>
      <w:r>
        <w:rPr>
          <w:sz w:val="28"/>
          <w:rFonts w:ascii="Times New Roman" w:hAnsi="Times New Roman"/>
        </w:rPr>
        <w:t xml:space="preserve"> bir tarafdan, hamda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“Talaba”ning tug‘ilgan sanasi</w:t>
        <w:fldChar w:fldCharType="end"/>
      </w:r>
      <w:r>
        <w:rPr>
          <w:sz w:val="28"/>
          <w:rFonts w:ascii="Times New Roman" w:hAnsi="Times New Roman"/>
        </w:rPr>
        <w:t xml:space="preserve"> sanasida tugʻilgan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“Talaba”ning yashash manzili</w:t>
        <w:fldChar w:fldCharType="end"/>
      </w:r>
      <w:r>
        <w:rPr>
          <w:sz w:val="28"/>
          <w:rFonts w:ascii="Times New Roman" w:hAnsi="Times New Roman"/>
        </w:rPr>
        <w:t xml:space="preserve"> manzilida yashovchi (keyingi “Talaba” deb ataladi)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“Talaba”ning F.I.O.si</w:t>
        <w:fldChar w:fldCharType="end"/>
      </w:r>
      <w:r>
        <w:rPr>
          <w:sz w:val="28"/>
          <w:rFonts w:ascii="Times New Roman" w:hAnsi="Times New Roman"/>
        </w:rPr>
        <w:t xml:space="preserve"> bakalavr mutaxassisi etib tayyorlash toʻgʻrisida mazkur shartnomani tuzdilar. </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 SHARTNOMA PREDMETI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Ushbu shartnomaga muvofiq “Universtitet” “Talaba”ni mazkur shartnomaning shartlarida koʻrsatilgan taʼlim yoʻnalishi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“Talaba” o‘qishi mo‘ljallanayotgan mutaxassislik nomi</w:t>
        <w:fldChar w:fldCharType="end"/>
      </w:r>
      <w:r>
        <w:rPr>
          <w:sz w:val="28"/>
          <w:rFonts w:ascii="Times New Roman" w:hAnsi="Times New Roman"/>
        </w:rPr>
        <w:t xml:space="preserve"> boʻyicha toʻlov shartnomasi asosida oʻqitish, “Talaba” esa mazkur shartnomada belgilangan miqdorda va muddatlarda toʻlov shartnoma summasini oʻrnatilgan tartibda toʻlash majburiyatini oʻz zimmasiga oladi.</w:t>
      </w:r>
    </w:p>
    <w:p>
      <w:pPr>
        <w:jc w:val="both"/>
        <w:ind w:firstLine="425"/>
        <w:spacing w:after="0" w:line="288" w:lineRule="auto"/>
        <w:rPr>
          <w:sz w:val="28"/>
          <w:rFonts w:ascii="Times New Roman" w:hAnsi="Times New Roman"/>
        </w:rPr>
      </w:pPr>
      <w:r>
        <w:rPr>
          <w:sz w:val="28"/>
          <w:rFonts w:ascii="Times New Roman" w:hAnsi="Times New Roman"/>
        </w:rPr>
        <w:t xml:space="preserve">1.2. Birinchi kursdan boshlab oʻqishning davomiyligi 4 (toʻrt) yil boʻlib,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“Talaba” o‘qishga qabul qilingan yil</w:t>
        <w:fldChar w:fldCharType="end"/>
      </w:r>
      <w:r>
        <w:rPr>
          <w:sz w:val="28"/>
          <w:rFonts w:ascii="Times New Roman" w:hAnsi="Times New Roman"/>
        </w:rPr>
        <w:t xml:space="preserve"> oʻquv yilida 1-kursga qabul qilingan “Talaba” (akademik taʼtil, akademik qarzdor va “Talaba”lar safidan chetlashtirilish holatlari boʻlmaganda)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“Talaba” o‘qishni bitiradigan yil</w:t>
        <w:fldChar w:fldCharType="end"/>
      </w:r>
      <w:r>
        <w:rPr>
          <w:sz w:val="28"/>
          <w:rFonts w:ascii="Times New Roman" w:hAnsi="Times New Roman"/>
        </w:rPr>
        <w:t xml:space="preserve"> oʻquv yilida tamomlaydi.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II. TOMONLARNING HUQUQ VA MAJBURIYATLARI</w:t>
      </w:r>
    </w:p>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2.1. “Universtitet” quyidagi majburiyatlarga ega:</w:t>
      </w:r>
    </w:p>
    <w:p>
      <w:pPr>
        <w:jc w:val="both"/>
        <w:ind w:firstLine="425"/>
        <w:spacing w:after="0" w:line="288" w:lineRule="auto"/>
        <w:rPr>
          <w:sz w:val="28"/>
          <w:rFonts w:ascii="Times New Roman" w:hAnsi="Times New Roman"/>
        </w:rPr>
      </w:pPr>
      <w:r>
        <w:rPr>
          <w:sz w:val="28"/>
          <w:rFonts w:ascii="Times New Roman" w:hAnsi="Times New Roman"/>
        </w:rPr>
        <w:t xml:space="preserve">- oʻqitish uchun Oʻzbekiston Respublikasining “Taʼlim toʻgʻrisida”gi Qonuniga muvofiq taʼlim muassasalari Ustavida nazarda tutilgan zarur shart sharoitlarni yaratish;</w:t>
      </w:r>
    </w:p>
    <w:p>
      <w:pPr>
        <w:jc w:val="both"/>
        <w:ind w:firstLine="425"/>
        <w:spacing w:after="0" w:line="288" w:lineRule="auto"/>
        <w:rPr>
          <w:sz w:val="28"/>
          <w:rFonts w:ascii="Times New Roman" w:hAnsi="Times New Roman"/>
        </w:rPr>
      </w:pPr>
      <w:r>
        <w:rPr>
          <w:sz w:val="28"/>
          <w:rFonts w:ascii="Times New Roman" w:hAnsi="Times New Roman"/>
        </w:rPr>
        <w:t xml:space="preserve">- “Talaba”larga qonun bilan berilgan huquqlarining erkin amalga oshirilishini va taʼlim muassasasi Ustaviga muvofiq majburiyatlarning bajarilishini taʼminlash; </w:t>
      </w:r>
    </w:p>
    <w:p>
      <w:pPr>
        <w:jc w:val="both"/>
        <w:ind w:firstLine="425"/>
        <w:spacing w:after="0" w:line="288" w:lineRule="auto"/>
        <w:rPr>
          <w:sz w:val="28"/>
          <w:rFonts w:ascii="Times New Roman" w:hAnsi="Times New Roman"/>
        </w:rPr>
      </w:pPr>
      <w:r>
        <w:rPr>
          <w:sz w:val="28"/>
          <w:rFonts w:ascii="Times New Roman" w:hAnsi="Times New Roman"/>
        </w:rPr>
        <w:t xml:space="preserve">- mutaxassisni tasdiqlangan oʻquv rejasi va dasturlarga muvofiq davlat taʼlim standarti talablari darajasida tayyorlash; </w:t>
      </w:r>
    </w:p>
    <w:p>
      <w:pPr>
        <w:jc w:val="both"/>
        <w:ind w:firstLine="425"/>
        <w:spacing w:after="0" w:line="288" w:lineRule="auto"/>
        <w:rPr>
          <w:sz w:val="28"/>
          <w:rFonts w:ascii="Times New Roman" w:hAnsi="Times New Roman"/>
        </w:rPr>
      </w:pPr>
      <w:r>
        <w:rPr>
          <w:sz w:val="28"/>
          <w:rFonts w:ascii="Times New Roman" w:hAnsi="Times New Roman"/>
        </w:rPr>
        <w:t xml:space="preserve">- boshlanadigan oʻquv yilida oʻqitish uchun toʻlovning belgilangan miqdori toʻgʻrisida oʻz vaqtida xabar berish; </w:t>
      </w:r>
    </w:p>
    <w:p>
      <w:pPr>
        <w:jc w:val="both"/>
        <w:ind w:firstLine="425"/>
        <w:spacing w:after="0" w:line="288" w:lineRule="auto"/>
        <w:rPr>
          <w:sz w:val="28"/>
          <w:rFonts w:ascii="Times New Roman" w:hAnsi="Times New Roman"/>
        </w:rPr>
      </w:pPr>
      <w:r>
        <w:rPr>
          <w:sz w:val="28"/>
          <w:rFonts w:ascii="Times New Roman" w:hAnsi="Times New Roman"/>
        </w:rPr>
        <w:t xml:space="preserve">- taʼlim yoʻnalishlari (mutaxassisliklari) oʻquv rejasiga muvofiq ishlab chiqarish, diplom oldi amaliyoti oʻtish va shu davrda «Talaba”ni (oʻquvchini) haq toʻlanadigan shtat lavozimida ishlashga sharoit yaratish, kelgusida ish joyi va uning xususiyati bilan tanishtirish; </w:t>
      </w:r>
    </w:p>
    <w:p>
      <w:pPr>
        <w:jc w:val="both"/>
        <w:ind w:firstLine="425"/>
        <w:spacing w:after="0" w:line="288" w:lineRule="auto"/>
        <w:rPr>
          <w:sz w:val="28"/>
          <w:rFonts w:ascii="Times New Roman" w:hAnsi="Times New Roman"/>
        </w:rPr>
      </w:pPr>
      <w:r>
        <w:rPr>
          <w:sz w:val="28"/>
          <w:rFonts w:ascii="Times New Roman" w:hAnsi="Times New Roman"/>
        </w:rPr>
        <w:t xml:space="preserve">- “Talaba” ni oʻqishni tugatishi bilan lavozim (ish) bilan taʼminlash;</w:t>
      </w:r>
    </w:p>
    <w:p>
      <w:pPr>
        <w:jc w:val="both"/>
        <w:ind w:firstLine="425"/>
        <w:spacing w:after="0" w:line="288" w:lineRule="auto"/>
        <w:rPr>
          <w:sz w:val="28"/>
          <w:rFonts w:ascii="Times New Roman" w:hAnsi="Times New Roman"/>
        </w:rPr>
      </w:pPr>
      <w:r>
        <w:rPr>
          <w:sz w:val="28"/>
          <w:rFonts w:ascii="Times New Roman" w:hAnsi="Times New Roman"/>
        </w:rPr>
        <w:t xml:space="preserve">- mehnatga haq toʻlashning eng kam miqdori yoki tariflar (oʻqitish uchun toʻlov qiymati) oʻzgarganda taʼlimning qolgan muddati uchun toʻlov miqdori haqida xabar berish. </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Universtitetning boshqa majburiyatlari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Universtitet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 “Talaba” universtitet nizom qoidalariga zid ish qilgan hollarda yoki belgilangan imtihonlardan oʻta olmaganda u bilan shartnomani bekor qilish;</w:t>
      </w:r>
    </w:p>
    <w:p>
      <w:pPr>
        <w:jc w:val="both"/>
        <w:ind w:firstLine="425"/>
        <w:spacing w:after="0" w:line="288" w:lineRule="auto"/>
        <w:rPr>
          <w:sz w:val="28"/>
          <w:rFonts w:ascii="Times New Roman" w:hAnsi="Times New Roman"/>
        </w:rPr>
      </w:pPr>
      <w:r>
        <w:rPr>
          <w:sz w:val="28"/>
          <w:rFonts w:ascii="Times New Roman" w:hAnsi="Times New Roman"/>
        </w:rPr>
        <w:t xml:space="preserve">- “Talaba”dan toʻlovlarni oʻz vaqtida amalga oshirilishini talab qilish;</w:t>
      </w:r>
    </w:p>
    <w:p>
      <w:pPr>
        <w:jc w:val="both"/>
        <w:ind w:firstLine="425"/>
        <w:spacing w:after="0" w:line="288" w:lineRule="auto"/>
        <w:rPr>
          <w:sz w:val="28"/>
          <w:rFonts w:ascii="Times New Roman" w:hAnsi="Times New Roman"/>
        </w:rPr>
      </w:pPr>
      <w:r>
        <w:rPr>
          <w:sz w:val="28"/>
          <w:rFonts w:ascii="Times New Roman" w:hAnsi="Times New Roman"/>
        </w:rPr>
        <w:t xml:space="preserve">- “Talaba” toʻlovlarni vaqtida amalga oshirmagan holatlarda shartnomani bekor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Universtitetning boshqa huquqlari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2.2. “Talaba” quyidagi majburiyatlarga ega:</w:t>
      </w:r>
    </w:p>
    <w:p>
      <w:pPr>
        <w:jc w:val="both"/>
        <w:ind w:firstLine="425"/>
        <w:spacing w:after="0" w:line="288" w:lineRule="auto"/>
        <w:rPr>
          <w:sz w:val="28"/>
          <w:rFonts w:ascii="Times New Roman" w:hAnsi="Times New Roman"/>
        </w:rPr>
      </w:pPr>
      <w:r>
        <w:rPr>
          <w:sz w:val="28"/>
          <w:rFonts w:ascii="Times New Roman" w:hAnsi="Times New Roman"/>
        </w:rPr>
        <w:t xml:space="preserve"> - oʻqitish uchun toʻlov haqini kamida 50 foizini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“Talaba” to‘lov pulining yarmini to‘lash muddati</w:t>
        <w:fldChar w:fldCharType="end"/>
      </w:r>
      <w:r>
        <w:rPr>
          <w:sz w:val="28"/>
          <w:rFonts w:ascii="Times New Roman" w:hAnsi="Times New Roman"/>
        </w:rPr>
        <w:t xml:space="preserve">gacha, qolgan 50 foiz qismini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To‘lovning qolgan qismini to‘lash muddati</w:t>
        <w:fldChar w:fldCharType="end"/>
      </w:r>
      <w:r>
        <w:rPr>
          <w:sz w:val="28"/>
          <w:rFonts w:ascii="Times New Roman" w:hAnsi="Times New Roman"/>
        </w:rPr>
        <w:t xml:space="preserve">gacha toʻlash;</w:t>
      </w:r>
    </w:p>
    <w:p>
      <w:pPr>
        <w:jc w:val="both"/>
        <w:ind w:firstLine="425"/>
        <w:spacing w:after="0" w:line="288" w:lineRule="auto"/>
        <w:rPr>
          <w:sz w:val="28"/>
          <w:rFonts w:ascii="Times New Roman" w:hAnsi="Times New Roman"/>
        </w:rPr>
      </w:pPr>
      <w:r>
        <w:rPr>
          <w:sz w:val="28"/>
          <w:rFonts w:ascii="Times New Roman" w:hAnsi="Times New Roman"/>
        </w:rPr>
        <w:t xml:space="preserve"> - keyingi oʻquv yillari uchun toʻlov shartnoma summasini oʻrnatilgan tartibda belgilangan miqdorda amalga oshirish;</w:t>
      </w:r>
    </w:p>
    <w:p>
      <w:pPr>
        <w:jc w:val="both"/>
        <w:ind w:firstLine="425"/>
        <w:spacing w:after="0" w:line="288" w:lineRule="auto"/>
        <w:rPr>
          <w:sz w:val="28"/>
          <w:rFonts w:ascii="Times New Roman" w:hAnsi="Times New Roman"/>
        </w:rPr>
      </w:pPr>
      <w:r>
        <w:rPr>
          <w:sz w:val="28"/>
          <w:rFonts w:ascii="Times New Roman" w:hAnsi="Times New Roman"/>
        </w:rPr>
        <w:t xml:space="preserve"> - Universtitetning amaldagi nizom va qoidalariga rioya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“Talaba”ning boshqa majburiyatlari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“Talaba”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Oʻqitish Oʻzbekiston Respublikasining “Taʼlim toʻgʻrisida”gi Qonuniga muvofiq oʻtkazilishini talab qilish;</w:t>
      </w:r>
    </w:p>
    <w:p>
      <w:pPr>
        <w:jc w:val="both"/>
        <w:ind w:firstLine="425"/>
        <w:spacing w:after="0" w:line="288" w:lineRule="auto"/>
        <w:rPr>
          <w:sz w:val="28"/>
          <w:rFonts w:ascii="Times New Roman" w:hAnsi="Times New Roman"/>
        </w:rPr>
      </w:pPr>
      <w:r>
        <w:rPr>
          <w:sz w:val="28"/>
          <w:rFonts w:ascii="Times New Roman" w:hAnsi="Times New Roman"/>
        </w:rPr>
        <w:t xml:space="preserve">- “Talaba”larga qonun bilan berilgan huquqlarining erkin amalga oshirilishini va taʼlim muassasasi Ustaviga muvofiq majburiyatlarning bajarilishini talab qilish; </w:t>
      </w:r>
    </w:p>
    <w:p>
      <w:pPr>
        <w:jc w:val="both"/>
        <w:ind w:firstLine="425"/>
        <w:spacing w:after="0" w:line="288" w:lineRule="auto"/>
        <w:rPr>
          <w:sz w:val="28"/>
          <w:rFonts w:ascii="Times New Roman" w:hAnsi="Times New Roman"/>
        </w:rPr>
      </w:pPr>
      <w:r>
        <w:rPr>
          <w:sz w:val="28"/>
          <w:rFonts w:ascii="Times New Roman" w:hAnsi="Times New Roman"/>
        </w:rPr>
        <w:t xml:space="preserve">- Darslar tasdiqlangan oʻquv rejasi va dasturlarga muvofiq davlat taʼlim standarti talablari darajasida olib borilishini talab qilish; </w:t>
      </w:r>
    </w:p>
    <w:p>
      <w:pPr>
        <w:jc w:val="both"/>
        <w:ind w:firstLine="425"/>
        <w:spacing w:after="0" w:line="288" w:lineRule="auto"/>
        <w:rPr>
          <w:sz w:val="28"/>
          <w:rFonts w:ascii="Times New Roman" w:hAnsi="Times New Roman"/>
        </w:rPr>
      </w:pPr>
      <w:r>
        <w:rPr>
          <w:sz w:val="28"/>
          <w:rFonts w:ascii="Times New Roman" w:hAnsi="Times New Roman"/>
        </w:rPr>
        <w:t xml:space="preserve">- malakasiz oʻqituvchilarni almashtirishni universtitetdan talab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“Talaba”ning boshqa huquqlari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III. OʻQITISH UCHUN TOʻLOV QIYMATI, TARTIBI VA SHARTLARI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3.1. Taʼlim muassasasi har oʻquv yili uchun oʻqitish qiymatini mustaqil belgilaydi. </w:t>
      </w:r>
    </w:p>
    <w:p>
      <w:pPr>
        <w:jc w:val="both"/>
        <w:ind w:firstLine="425"/>
        <w:spacing w:after="0" w:line="288" w:lineRule="auto"/>
        <w:rPr>
          <w:sz w:val="28"/>
          <w:rFonts w:ascii="Times New Roman" w:hAnsi="Times New Roman"/>
        </w:rPr>
      </w:pPr>
      <w:r>
        <w:rPr>
          <w:sz w:val="28"/>
          <w:rFonts w:ascii="Times New Roman" w:hAnsi="Times New Roman"/>
        </w:rPr>
        <w:t xml:space="preserve">3.2. </w:t>
      </w: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“Talaba” tomonidan to‘lovlar to‘lash yili</w:t>
        <w:fldChar w:fldCharType="end"/>
      </w:r>
      <w:r>
        <w:rPr>
          <w:sz w:val="28"/>
          <w:rFonts w:ascii="Times New Roman" w:hAnsi="Times New Roman"/>
        </w:rPr>
        <w:t xml:space="preserve"> oʻquv yili uchun oʻqitish qiymati </w:t>
      </w: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Bir o‘quv yili uchun to‘lanadigan to‘lov miqdori</w:t>
        <w:fldChar w:fldCharType="end"/>
      </w:r>
      <w:r>
        <w:rPr>
          <w:sz w:val="28"/>
          <w:rFonts w:ascii="Times New Roman" w:hAnsi="Times New Roman"/>
        </w:rPr>
        <w:t xml:space="preserve"> soʻmni tashkil etadi.</w:t>
      </w:r>
    </w:p>
    <w:p>
      <w:pPr>
        <w:jc w:val="both"/>
        <w:ind w:firstLine="425"/>
        <w:spacing w:after="0" w:line="288" w:lineRule="auto"/>
        <w:rPr>
          <w:sz w:val="28"/>
          <w:rFonts w:ascii="Times New Roman" w:hAnsi="Times New Roman"/>
        </w:rPr>
      </w:pPr>
      <w:r>
        <w:rPr>
          <w:sz w:val="28"/>
          <w:rFonts w:ascii="Times New Roman" w:hAnsi="Times New Roman"/>
        </w:rPr>
        <w:t xml:space="preserve">3.3. Buyurtmachi mazkur oʻquv yili uchun belgilangan toʻlov miqdorini toʻliq yoki qismlarga boʻlib toʻlaydi. Bunda, shartnoma pulining kamida 50 foiz toʻlovini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“Talaba” to‘lov pulining yarmini to‘lash muddati</w:t>
        <w:fldChar w:fldCharType="end"/>
      </w:r>
      <w:r>
        <w:rPr>
          <w:sz w:val="28"/>
          <w:rFonts w:ascii="Times New Roman" w:hAnsi="Times New Roman"/>
        </w:rPr>
        <w:t xml:space="preserve">gacha, qolgan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To‘lovning qolgan qismini to‘lash muddati</w:t>
        <w:fldChar w:fldCharType="end"/>
      </w:r>
      <w:r>
        <w:rPr>
          <w:sz w:val="28"/>
          <w:rFonts w:ascii="Times New Roman" w:hAnsi="Times New Roman"/>
        </w:rPr>
        <w:t xml:space="preserve">gacha (oyma-oy qismlarga boʻlib toʻlaganda ham) amalga oshiradi.</w:t>
      </w:r>
    </w:p>
    <w:p>
      <w:pPr>
        <w:jc w:val="both"/>
        <w:ind w:firstLine="425"/>
        <w:spacing w:after="0" w:line="288" w:lineRule="auto"/>
        <w:rPr>
          <w:sz w:val="28"/>
          <w:rFonts w:ascii="Times New Roman" w:hAnsi="Times New Roman"/>
        </w:rPr>
      </w:pPr>
      <w:r>
        <w:rPr>
          <w:sz w:val="28"/>
          <w:rFonts w:ascii="Times New Roman" w:hAnsi="Times New Roman"/>
        </w:rPr>
        <w:t xml:space="preserve">3.4. Alohida holatlarda shartnoma pulini toʻlash muddatlari Taʼlim muassasasi rahbariyatining qarori (buyrugʻi)ga asosan uzaytirilshi mumkin. </w:t>
      </w:r>
    </w:p>
    <w:p>
      <w:pPr>
        <w:jc w:val="both"/>
        <w:ind w:firstLine="425"/>
        <w:spacing w:after="0" w:line="288" w:lineRule="auto"/>
        <w:rPr>
          <w:sz w:val="28"/>
          <w:rFonts w:ascii="Times New Roman" w:hAnsi="Times New Roman"/>
        </w:rPr>
      </w:pPr>
      <w:r>
        <w:rPr>
          <w:sz w:val="28"/>
          <w:rFonts w:ascii="Times New Roman" w:hAnsi="Times New Roman"/>
        </w:rPr>
        <w:t xml:space="preserve">3.5. Shartnoma pulini toʻlash bilan bogʻliq barcha xarajatlar “Talaba” tomonidan qoplanadi.</w:t>
      </w:r>
    </w:p>
    <w:p>
      <w:pPr>
        <w:jc w:val="both"/>
        <w:ind w:firstLine="425"/>
        <w:spacing w:after="0" w:line="288" w:lineRule="auto"/>
        <w:rPr>
          <w:sz w:val="28"/>
          <w:rFonts w:ascii="Times New Roman" w:hAnsi="Times New Roman"/>
        </w:rPr>
      </w:pPr>
      <w:r>
        <w:rPr>
          <w:sz w:val="28"/>
          <w:rFonts w:ascii="Times New Roman" w:hAnsi="Times New Roman"/>
        </w:rPr>
        <w:t xml:space="preserve">3.6. “Talaba” Taʼlim muassasasi ichki tartib-qoidalari va oʻquv intizomini buzganligi, fanlarni oʻzlashtira olmaganligi (qarzdorligi), bir semestr davomida uzrli sababsiz 74 soatdan ortiq dars qoldirganligi, oʻqitish uchun belgilangan miqdordagi toʻlovni oʻz vaqtida va toʻliq amalga oshirmaganligi uchun oʻqishdan chetlashtirilganda ilgari toʻlangan pullar qaytarilib berilmaydi.</w:t>
      </w:r>
    </w:p>
    <w:p>
      <w:pPr>
        <w:jc w:val="both"/>
        <w:ind w:firstLine="425"/>
        <w:spacing w:after="0" w:line="288" w:lineRule="auto"/>
        <w:rPr>
          <w:sz w:val="28"/>
          <w:rFonts w:ascii="Times New Roman" w:hAnsi="Times New Roman"/>
        </w:rPr>
      </w:pPr>
    </w:p>
    <w:p>
      <w:pPr>
        <w:pStyle w:val="a4"/>
        <w:jc w:val="center"/>
        <w:ind w:firstLine="425"/>
        <w:spacing w:line="288" w:lineRule="auto"/>
        <w:rPr>
          <w:b/>
          <w:sz w:val="28"/>
          <w:rFonts w:ascii="Times New Roman" w:hAnsi="Times New Roman"/>
        </w:rPr>
      </w:pPr>
      <w:r>
        <w:rPr>
          <w:b/>
          <w:sz w:val="28"/>
          <w:rFonts w:ascii="Times New Roman" w:hAnsi="Times New Roman"/>
        </w:rPr>
        <w:t xml:space="preserve">IV. FORS-MAJOR VA JAVOBGARLIKDAN OZOD ETISH</w:t>
      </w:r>
    </w:p>
    <w:p>
      <w:pPr>
        <w:pStyle w:val="a4"/>
        <w:jc w:val="both"/>
        <w:ind w:firstLine="425"/>
        <w:spacing w:line="288" w:lineRule="auto"/>
        <w:rPr>
          <w:sz w:val="28"/>
          <w:rFonts w:ascii="Times New Roman" w:hAnsi="Times New Roman"/>
        </w:rPr>
      </w:pPr>
    </w:p>
    <w:p>
      <w:pPr>
        <w:pStyle w:val="a4"/>
        <w:jc w:val="both"/>
        <w:ind w:firstLine="425"/>
        <w:spacing w:line="288" w:lineRule="auto"/>
        <w:rPr>
          <w:sz w:val="28"/>
          <w:rFonts w:ascii="Times New Roman" w:hAnsi="Times New Roman"/>
        </w:rPr>
      </w:pPr>
      <w:r>
        <w:rPr>
          <w:sz w:val="28"/>
          <w:rFonts w:ascii="Times New Roman" w:hAnsi="Times New Roman"/>
        </w:rPr>
        <w:t xml:space="preserve">4.1. Taraflardan biri shartnomani yengib boʻlmaydigan kuch holat (fors-major)lari (zilzila, qurgʻoqchilik, suv toshqini, yongʻin, sel, doʻl, jala va boshqa tabiiy ofatlar) sababli bajarmagan yoki lozim darajada bajarmaganligini isbotlasa, javobgar boʻlmaydi.</w:t>
      </w:r>
    </w:p>
    <w:p>
      <w:pPr>
        <w:pStyle w:val="a4"/>
        <w:jc w:val="both"/>
        <w:ind w:firstLine="425"/>
        <w:spacing w:line="288" w:lineRule="auto"/>
        <w:rPr>
          <w:sz w:val="28"/>
          <w:rFonts w:ascii="Times New Roman" w:hAnsi="Times New Roman"/>
        </w:rPr>
      </w:pPr>
      <w:r>
        <w:rPr>
          <w:sz w:val="28"/>
          <w:rFonts w:ascii="Times New Roman" w:hAnsi="Times New Roman"/>
        </w:rPr>
        <w:t xml:space="preserve">4.2. Ushbu shartnoma shartlarini bajarishga toʻsqinlik qiluvchi fors-major holatlarining boshlanishi va tugashi toʻgʻrisida tomonlar zudlik bilan bir-birlarini yozma ravishda xabardor qilishlari shart.</w:t>
      </w:r>
    </w:p>
    <w:p>
      <w:pPr>
        <w:pStyle w:val="a4"/>
        <w:jc w:val="both"/>
        <w:ind w:firstLine="425"/>
        <w:spacing w:line="288" w:lineRule="auto"/>
        <w:rPr>
          <w:sz w:val="28"/>
          <w:rFonts w:ascii="Times New Roman" w:hAnsi="Times New Roman"/>
        </w:rPr>
      </w:pPr>
      <w:r>
        <w:rPr>
          <w:sz w:val="28"/>
          <w:rFonts w:ascii="Times New Roman" w:hAnsi="Times New Roman"/>
        </w:rPr>
        <w:t xml:space="preserve">4.3. Fors-major holatlari boʻyicha kelishmovchiliklar va nizoli masalalar kelib chiqqan taqdirda tomonlar, qoidaga koʻra, mustaqil ravishda kelishib olishlari lozim yoki kelishuvga erishmagan taqdirda sudga murojaat qilishlari mumkin. </w:t>
      </w:r>
    </w:p>
    <w:p>
      <w:pPr>
        <w:pStyle w:val="a4"/>
        <w:jc w:val="both"/>
        <w:ind w:firstLine="425"/>
        <w:spacing w:line="288" w:lineRule="auto"/>
        <w:rPr>
          <w:sz w:val="28"/>
          <w:rFonts w:ascii="Times New Roman" w:hAnsi="Times New Roman"/>
        </w:rPr>
      </w:pPr>
    </w:p>
    <w:p>
      <w:pPr>
        <w:pStyle w:val="a4"/>
        <w:jc w:val="center"/>
        <w:ind w:firstLine="425"/>
        <w:spacing w:line="288" w:lineRule="auto"/>
        <w:rPr>
          <w:b/>
          <w:sz w:val="28"/>
          <w:rFonts w:ascii="Times New Roman" w:hAnsi="Times New Roman"/>
        </w:rPr>
      </w:pPr>
      <w:r>
        <w:rPr>
          <w:b/>
          <w:sz w:val="28"/>
          <w:rFonts w:ascii="Times New Roman" w:hAnsi="Times New Roman"/>
        </w:rPr>
        <w:t xml:space="preserve">V. NIZOLARNI HAL ETISH TARTIBI</w:t>
      </w:r>
    </w:p>
    <w:p>
      <w:pPr>
        <w:pStyle w:val="a4"/>
        <w:jc w:val="both"/>
        <w:ind w:firstLine="425"/>
        <w:spacing w:line="288" w:lineRule="auto"/>
        <w:rPr>
          <w:sz w:val="28"/>
          <w:rFonts w:ascii="Times New Roman" w:hAnsi="Times New Roman"/>
        </w:rPr>
      </w:pPr>
      <w:r>
        <w:rPr>
          <w:sz w:val="28"/>
          <w:rFonts w:ascii="Times New Roman" w:hAnsi="Times New Roman"/>
        </w:rPr>
        <w:t xml:space="preserve">5.1. Shartnoma shartlari boʻyicha taraflar oʻrtasida kelishmovchiliklar va nizoli masalalar kelib chiqqan taqdirda taraflar mustaqil ravishda oʻzlari yoki boshqa vakillar ishtirokida hal etish choralarini koʻradilar.</w:t>
      </w:r>
    </w:p>
    <w:p>
      <w:pPr>
        <w:pStyle w:val="a4"/>
        <w:jc w:val="both"/>
        <w:ind w:firstLine="425"/>
        <w:spacing w:line="288" w:lineRule="auto"/>
        <w:rPr>
          <w:sz w:val="28"/>
          <w:rFonts w:ascii="Times New Roman" w:hAnsi="Times New Roman"/>
        </w:rPr>
      </w:pPr>
      <w:r>
        <w:rPr>
          <w:sz w:val="28"/>
          <w:rFonts w:ascii="Times New Roman" w:hAnsi="Times New Roman"/>
        </w:rPr>
        <w:t xml:space="preserve">Taraflar oʻzaro kelishuvga erishmagan taqdirda Mediatsiya tartibida nizolarni hal qilishga haqli.</w:t>
      </w:r>
    </w:p>
    <w:p>
      <w:pPr>
        <w:pStyle w:val="a4"/>
        <w:jc w:val="both"/>
        <w:ind w:firstLine="425"/>
        <w:spacing w:line="288" w:lineRule="auto"/>
        <w:rPr>
          <w:sz w:val="28"/>
          <w:rFonts w:ascii="Times New Roman" w:hAnsi="Times New Roman"/>
        </w:rPr>
      </w:pPr>
      <w:r>
        <w:rPr>
          <w:sz w:val="28"/>
          <w:rFonts w:ascii="Times New Roman" w:hAnsi="Times New Roman"/>
        </w:rPr>
        <w:t xml:space="preserve">5.2. Taraflar oʻzaro kelishuvga erishmagan taqdirda esa nizoli holatlar taraflardan birining arizasiga asosan </w:t>
      </w:r>
      <w:r>
        <w:rPr>
          <w:vanish w:val="false"/>
          <w:sz w:val="28"/>
          <w:rFonts w:ascii="Times New Roman" w:hAnsi="Times New Roman"/>
        </w:rPr>
        <w:fldChar w:fldCharType="begin"/>
        <w:instrText xml:space="preserve">X {"Y":34}</w:instrText>
        <w:fldChar w:fldCharType="separate"/>
      </w:r>
      <w:r>
        <w:rPr>
          <w:vanish w:val="false"/>
          <w:sz w:val="28"/>
          <w:rFonts w:ascii="Times New Roman" w:hAnsi="Times New Roman"/>
        </w:rPr>
        <w:t xml:space="preserve">Nizoli holatlarda murojaat qilinishi belgilangan sud nomi</w:t>
        <w:fldChar w:fldCharType="end"/>
      </w:r>
      <w:r>
        <w:rPr>
          <w:sz w:val="28"/>
          <w:rFonts w:ascii="Times New Roman" w:hAnsi="Times New Roman"/>
        </w:rPr>
        <w:t xml:space="preserve"> sudi tomonidan hal qilinadi.</w:t>
      </w:r>
    </w:p>
    <w:p>
      <w:pPr>
        <w:jc w:val="center"/>
        <w:ind w:firstLine="425"/>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VI. SHARTNOMANI BEKOR QILISH, OʻZGARTIRISH VA QOʻSHIMCHALAR KIRITISH</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4.1. Shartnoma quyidagi hollarda bekor qilinishi mumkin: - tomonlarning oʻzaro roziligi bilan; - taʼlim muassasi ustaviga muvofiq maʼmuriyatning tashabbusiga koʻra, taʼlim oluvchi oʻqishdan chetlashtirilganda; - tomonlardan birining shartnoma shartlarini bajarmaganida; - uzrli sabablar bilan taʼlim oluvchining tashabbusiga koʻra; - taʼlim muassasasi yoki tashkilot-buyurtmachi tugatilganida (Ushbu holda tegishli tomonlar oʻrtasida yangi shartnoma rasmiylashtiriladi); - amaldagi qonunchilikda koʻrsatilgan boshqa hollarda. </w:t>
      </w:r>
    </w:p>
    <w:p>
      <w:pPr>
        <w:jc w:val="both"/>
        <w:ind w:firstLine="425"/>
        <w:spacing w:after="0" w:line="288" w:lineRule="auto"/>
        <w:rPr>
          <w:sz w:val="28"/>
          <w:rFonts w:ascii="Times New Roman" w:hAnsi="Times New Roman"/>
        </w:rPr>
      </w:pPr>
      <w:r>
        <w:rPr>
          <w:sz w:val="28"/>
          <w:rFonts w:ascii="Times New Roman" w:hAnsi="Times New Roman"/>
        </w:rPr>
        <w:t xml:space="preserve">4.2. Shartnomaga oʻzgartirish va qoʻshimchalar tomonlarning kelishuviga asosan kiritiladi.</w:t>
      </w:r>
    </w:p>
    <w:p>
      <w:pPr>
        <w:jc w:val="both"/>
        <w:ind w:firstLine="425"/>
        <w:spacing w:after="0" w:line="288" w:lineRule="auto"/>
        <w:rPr>
          <w:sz w:val="28"/>
          <w:rFonts w:ascii="Times New Roman" w:hAnsi="Times New Roman"/>
        </w:rPr>
      </w:pPr>
      <w:r>
        <w:rPr>
          <w:sz w:val="28"/>
          <w:rFonts w:ascii="Times New Roman" w:hAnsi="Times New Roman"/>
        </w:rPr>
        <w:t xml:space="preserve">4.4. Shartnoma ikkala tomon uni imzolagan kundan boshlab kuchga kiradi va </w:t>
      </w:r>
      <w:r>
        <w:rPr>
          <w:vanish w:val="false"/>
          <w:sz w:val="28"/>
          <w:rFonts w:ascii="Times New Roman" w:hAnsi="Times New Roman"/>
        </w:rPr>
        <w:fldChar w:fldCharType="begin"/>
        <w:instrText xml:space="preserve">X {"Y":35}</w:instrText>
        <w:fldChar w:fldCharType="separate"/>
      </w:r>
      <w:r>
        <w:rPr>
          <w:vanish w:val="false"/>
          <w:sz w:val="28"/>
          <w:rFonts w:ascii="Times New Roman" w:hAnsi="Times New Roman"/>
        </w:rPr>
        <w:t xml:space="preserve">Shartnomaning amal qilish muddati</w:t>
        <w:fldChar w:fldCharType="end"/>
      </w:r>
      <w:r>
        <w:rPr>
          <w:sz w:val="28"/>
          <w:rFonts w:ascii="Times New Roman" w:hAnsi="Times New Roman"/>
        </w:rPr>
        <w:t xml:space="preserve">gacha amal qiladi.</w:t>
      </w:r>
    </w:p>
    <w:p>
      <w:pPr>
        <w:jc w:val="both"/>
        <w:ind w:firstLine="425"/>
        <w:spacing w:after="0" w:line="288" w:lineRule="auto"/>
        <w:rPr>
          <w:sz w:val="24"/>
          <w:rFonts w:ascii="Times New Roman" w:hAnsi="Times New Roman"/>
        </w:rPr>
      </w:pPr>
    </w:p>
    <w:p>
      <w:pPr>
        <w:jc w:val="center"/>
        <w:ind w:firstLine="425"/>
        <w:spacing w:after="0" w:line="288" w:lineRule="auto"/>
        <w:rPr>
          <w:sz w:val="28"/>
          <w:rFonts w:ascii="Times New Roman" w:hAnsi="Times New Roman"/>
        </w:rPr>
      </w:pPr>
      <w:r>
        <w:rPr>
          <w:b/>
          <w:sz w:val="28"/>
          <w:rFonts w:ascii="Times New Roman" w:hAnsi="Times New Roman"/>
        </w:rPr>
        <w:t xml:space="preserve">V. TOMONLARNING YURIDIK MANZILLARI: TAʼLIM MUASSASASI BUYURTMACHI</w:t>
      </w:r>
      <w:r>
        <w:rPr>
          <w:sz w:val="28"/>
          <w:rFonts w:ascii="Times New Roman" w:hAnsi="Times New Roman"/>
        </w:rPr>
        <w:t xml:space="preserve"> </w:t>
      </w:r>
    </w:p>
    <w:p>
      <w:pPr>
        <w:jc w:val="center"/>
        <w:ind w:firstLine="425"/>
        <w:spacing w:after="0" w:line="288" w:lineRule="auto"/>
        <w:rPr>
          <w:sz w:val="28"/>
          <w:rFonts w:ascii="Times New Roman" w:hAnsi="Times New Roman"/>
        </w:rPr>
      </w:pPr>
    </w:p>
    <w:tbl>
      <w:tblPr>
        <w:tblW w:w="0" w:type="auto"/>
      </w:tblPr>
      <w:tblGrid>
        <w:gridCol w:w="1590"/>
        <w:gridCol w:w="2658"/>
        <w:gridCol w:w="425"/>
        <w:gridCol w:w="2270"/>
        <w:gridCol w:w="2402"/>
      </w:tblGrid>
      <w:tr>
        <w:tc>
          <w:tcPr>
            <w:tcW w:w="4248" w:type="dxa"/>
            <w:gridSpan w:val="2"/>
            <w:shd w:fill="auto"/>
          </w:tcPr>
          <w:p>
            <w:pPr>
              <w:pStyle w:val="a3"/>
              <w:jc w:val="center"/>
              <w:ind w:left="0"/>
              <w:spacing w:line="288" w:lineRule="auto"/>
              <w:rPr>
                <w:b/>
                <w:sz w:val="28"/>
                <w:rFonts w:ascii="Times New Roman" w:hAnsi="Times New Roman"/>
              </w:rPr>
            </w:pPr>
            <w:r>
              <w:rPr>
                <w:b/>
                <w:sz w:val="28"/>
                <w:rFonts w:ascii="Times New Roman" w:hAnsi="Times New Roman"/>
              </w:rPr>
              <w:t>Universtitet:</w:t>
            </w:r>
          </w:p>
        </w:tc>
        <w:tc>
          <w:tcPr>
            <w:tcW w:w="425" w:type="dxa"/>
          </w:tcPr>
          <w:p>
            <w:pPr>
              <w:pStyle w:val="a3"/>
              <w:jc w:val="center"/>
              <w:ind w:left="0"/>
              <w:spacing w:line="288" w:lineRule="auto"/>
              <w:rPr>
                <w:b/>
                <w:sz w:val="28"/>
                <w:rFonts w:ascii="Times New Roman" w:hAnsi="Times New Roman"/>
              </w:rPr>
            </w:pPr>
          </w:p>
        </w:tc>
        <w:tc>
          <w:tcPr>
            <w:tcW w:w="4672" w:type="dxa"/>
            <w:gridSpan w:val="2"/>
            <w:shd w:fill="auto"/>
          </w:tcPr>
          <w:p>
            <w:pPr>
              <w:pStyle w:val="a3"/>
              <w:jc w:val="center"/>
              <w:ind w:left="0"/>
              <w:spacing w:line="288" w:lineRule="auto"/>
              <w:rPr>
                <w:b/>
                <w:sz w:val="28"/>
                <w:rFonts w:ascii="Times New Roman" w:hAnsi="Times New Roman"/>
              </w:rPr>
            </w:pPr>
            <w:r>
              <w:rPr>
                <w:b/>
                <w:sz w:val="28"/>
                <w:rFonts w:ascii="Times New Roman" w:hAnsi="Times New Roman"/>
              </w:rPr>
              <w:t>Talaba:</w:t>
            </w:r>
          </w:p>
        </w:tc>
      </w:tr>
      <w:tr>
        <w:tc>
          <w:tcPr>
            <w:tcW w:w="4248" w:type="dxa"/>
            <w:gridSpan w:val="2"/>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Universtitetning nomi, tashkiliy huquqiy shakli</w:t>
              <w:fldChar w:fldCharType="end"/>
            </w:r>
          </w:p>
        </w:tc>
        <w:tc>
          <w:tcPr>
            <w:tcW w:w="425" w:type="dxa"/>
          </w:tcPr>
          <w:p>
            <w:pPr>
              <w:pStyle w:val="a3"/>
              <w:jc w:val="center"/>
              <w:ind w:left="0"/>
              <w:spacing w:line="288" w:lineRule="auto"/>
              <w:rPr>
                <w:b/>
                <w:sz w:val="28"/>
                <w:rFonts w:ascii="Times New Roman" w:hAnsi="Times New Roman"/>
              </w:rPr>
            </w:pPr>
          </w:p>
        </w:tc>
        <w:tc>
          <w:tcPr>
            <w:tcW w:w="4672" w:type="dxa"/>
            <w:gridSpan w:val="2"/>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“Talaba”ning F.I.O.si</w:t>
              <w:fldChar w:fldCharType="end"/>
            </w:r>
          </w:p>
        </w:tc>
      </w:tr>
      <w:tr>
        <w:tc>
          <w:tcPr>
            <w:tcW w:w="4248"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Universtitetning joylashgan manzili</w:t>
              <w:fldChar w:fldCharType="end"/>
            </w:r>
          </w:p>
        </w:tc>
        <w:tc>
          <w:tcPr>
            <w:tcW w:w="425" w:type="dxa"/>
          </w:tcPr>
          <w:p>
            <w:pPr>
              <w:pStyle w:val="a3"/>
              <w:jc w:val="both"/>
              <w:ind w:left="0"/>
              <w:spacing w:line="288" w:lineRule="auto"/>
              <w:rPr>
                <w:b/>
                <w:sz w:val="28"/>
                <w:rFonts w:ascii="Times New Roman" w:hAnsi="Times New Roman"/>
              </w:rPr>
            </w:pPr>
          </w:p>
        </w:tc>
        <w:tc>
          <w:tcPr>
            <w:tcW w:w="4672"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“Talaba”ning yashash manzili</w:t>
              <w:fldChar w:fldCharType="end"/>
            </w:r>
          </w:p>
        </w:tc>
      </w:tr>
      <w:tr>
        <w:tc>
          <w:tcPr>
            <w:tcW w:w="4248"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Universtitetning hisob raqami</w:t>
              <w:fldChar w:fldCharType="end"/>
            </w:r>
          </w:p>
        </w:tc>
        <w:tc>
          <w:tcPr>
            <w:tcW w:w="425" w:type="dxa"/>
          </w:tcPr>
          <w:p>
            <w:pPr>
              <w:pStyle w:val="a3"/>
              <w:jc w:val="both"/>
              <w:ind w:left="0"/>
              <w:spacing w:line="288" w:lineRule="auto"/>
              <w:rPr>
                <w:b/>
                <w:sz w:val="28"/>
                <w:rFonts w:ascii="Times New Roman" w:hAnsi="Times New Roman"/>
              </w:rPr>
            </w:pPr>
          </w:p>
        </w:tc>
        <w:tc>
          <w:tcPr>
            <w:tcW w:w="4672" w:type="dxa"/>
            <w:gridSpan w:val="2"/>
            <w:shd w:fill="auto"/>
          </w:tcPr>
          <w:p>
            <w:pPr>
              <w:pStyle w:val="a3"/>
              <w:jc w:val="both"/>
              <w:ind w:left="0"/>
              <w:spacing w:line="288" w:lineRule="auto"/>
              <w:rPr>
                <w:b/>
                <w:sz w:val="28"/>
                <w:rFonts w:ascii="Times New Roman" w:hAnsi="Times New Roman"/>
              </w:rPr>
            </w:pPr>
            <w:r>
              <w:rPr>
                <w:b/>
                <w:sz w:val="28"/>
                <w:rFonts w:ascii="Times New Roman" w:hAnsi="Times New Roman"/>
              </w:rPr>
              <w:t xml:space="preserve">Pasport maʼlumotlari:</w:t>
            </w:r>
          </w:p>
          <w:p>
            <w:pPr>
              <w:pStyle w:val="a3"/>
              <w:jc w:val="both"/>
              <w:ind w:left="0"/>
              <w:spacing w:line="288" w:lineRule="auto"/>
              <w:rPr>
                <w:sz w:val="28"/>
                <w:rFonts w:ascii="Times New Roman" w:hAnsi="Times New Roman"/>
              </w:rPr>
            </w:pPr>
            <w:r>
              <w:rPr>
                <w:sz w:val="28"/>
                <w:rFonts w:ascii="Times New Roman" w:hAnsi="Times New Roman"/>
              </w:rPr>
              <w:t xml:space="preserve">Pasport seriya: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“Talaba”ning pasport seriyasi raqami</w:t>
              <w:fldChar w:fldCharType="end"/>
            </w:r>
          </w:p>
        </w:tc>
      </w:tr>
      <w:tr>
        <w:tc>
          <w:tcPr>
            <w:tcW w:w="4248" w:type="dxa"/>
            <w:gridSpan w:val="2"/>
            <w:shd w:fill="auto"/>
          </w:tcPr>
          <w:p>
            <w:pPr>
              <w:pStyle w:val="a3"/>
              <w:jc w:val="both"/>
              <w:ind w:left="0"/>
              <w:spacing w:line="288" w:lineRule="auto"/>
              <w:rPr>
                <w:b/>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Universtitetning STIR raqami</w:t>
              <w:fldChar w:fldCharType="end"/>
            </w:r>
          </w:p>
        </w:tc>
        <w:tc>
          <w:tcPr>
            <w:tcW w:w="425" w:type="dxa"/>
          </w:tcPr>
          <w:p>
            <w:pPr>
              <w:pStyle w:val="a3"/>
              <w:jc w:val="both"/>
              <w:ind w:left="0"/>
              <w:spacing w:line="288" w:lineRule="auto"/>
              <w:rPr>
                <w:sz w:val="28"/>
                <w:rFonts w:ascii="Times New Roman" w:hAnsi="Times New Roman"/>
              </w:rPr>
            </w:pPr>
          </w:p>
        </w:tc>
        <w:tc>
          <w:tcPr>
            <w:tcW w:w="4672" w:type="dxa"/>
            <w:gridSpan w:val="2"/>
            <w:shd w:fill="auto"/>
          </w:tcPr>
          <w:p>
            <w:pPr>
              <w:pStyle w:val="a3"/>
              <w:jc w:val="both"/>
              <w:ind w:left="0"/>
              <w:spacing w:line="288" w:lineRule="auto"/>
              <w:rPr>
                <w:sz w:val="28"/>
                <w:rFonts w:ascii="Times New Roman" w:hAnsi="Times New Roman"/>
              </w:rPr>
            </w:pP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“Talaba”ga pasport berilgan yil</w:t>
              <w:fldChar w:fldCharType="end"/>
            </w:r>
            <w:r>
              <w:rPr>
                <w:sz w:val="28"/>
                <w:rFonts w:ascii="Times New Roman" w:hAnsi="Times New Roman"/>
              </w:rPr>
              <w:t xml:space="preserve"> yilda berilgan</w:t>
            </w:r>
          </w:p>
        </w:tc>
      </w:tr>
      <w:tr>
        <w:tc>
          <w:tcPr>
            <w:tcW w:w="4248" w:type="dxa"/>
            <w:gridSpan w:val="2"/>
            <w:shd w:fill="auto"/>
          </w:tcPr>
          <w:p>
            <w:pPr>
              <w:pStyle w:val="a3"/>
              <w:jc w:val="both"/>
              <w:ind w:left="0"/>
              <w:spacing w:line="288" w:lineRule="auto"/>
              <w:rPr>
                <w:b/>
                <w:sz w:val="28"/>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Universtitetning pul operatsiyalarini amalga oshiruvchi bank nomi</w:t>
              <w:fldChar w:fldCharType="end"/>
            </w:r>
          </w:p>
        </w:tc>
        <w:tc>
          <w:tcPr>
            <w:tcW w:w="425" w:type="dxa"/>
          </w:tcPr>
          <w:p>
            <w:pPr>
              <w:pStyle w:val="a3"/>
              <w:jc w:val="both"/>
              <w:ind w:left="0"/>
              <w:spacing w:line="288" w:lineRule="auto"/>
              <w:rPr>
                <w:sz w:val="28"/>
                <w:rFonts w:ascii="Times New Roman" w:hAnsi="Times New Roman"/>
              </w:rPr>
            </w:pPr>
          </w:p>
        </w:tc>
        <w:tc>
          <w:tcPr>
            <w:tcW w:w="4672" w:type="dxa"/>
            <w:gridSpan w:val="2"/>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“Talaba”ga pasport berilgan hudud</w:t>
              <w:fldChar w:fldCharType="end"/>
            </w:r>
            <w:r>
              <w:rPr>
                <w:sz w:val="28"/>
                <w:rFonts w:ascii="Times New Roman" w:hAnsi="Times New Roman"/>
              </w:rPr>
              <w:t xml:space="preserve"> IIB tomonidan berilgan</w:t>
            </w:r>
          </w:p>
        </w:tc>
      </w:tr>
      <w:tr>
        <w:tc>
          <w:tcPr>
            <w:tcW w:w="4248"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Universtitetning telefon raqami</w:t>
              <w:fldChar w:fldCharType="end"/>
            </w:r>
          </w:p>
          <w:p>
            <w:pPr>
              <w:pStyle w:val="a3"/>
              <w:jc w:val="both"/>
              <w:ind w:left="0"/>
              <w:spacing w:line="288" w:lineRule="auto"/>
              <w:rPr>
                <w:b/>
                <w:sz w:val="28"/>
                <w:rFonts w:ascii="Times New Roman" w:hAnsi="Times New Roman"/>
              </w:rPr>
            </w:pPr>
          </w:p>
        </w:tc>
        <w:tc>
          <w:tcPr>
            <w:tcW w:w="425" w:type="dxa"/>
          </w:tcPr>
          <w:p>
            <w:pPr>
              <w:pStyle w:val="a3"/>
              <w:jc w:val="both"/>
              <w:ind w:left="0"/>
              <w:spacing w:line="288" w:lineRule="auto"/>
              <w:rPr>
                <w:b/>
                <w:sz w:val="28"/>
                <w:rFonts w:ascii="Times New Roman" w:hAnsi="Times New Roman"/>
              </w:rPr>
            </w:pPr>
          </w:p>
        </w:tc>
        <w:tc>
          <w:tcPr>
            <w:tcW w:w="4672" w:type="dxa"/>
            <w:gridSpan w:val="2"/>
            <w:shd w:fill="auto"/>
          </w:tcPr>
          <w:p>
            <w:pPr>
              <w:pStyle w:val="a3"/>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“Talaba”ning telefon raqami</w:t>
              <w:fldChar w:fldCharType="end"/>
            </w:r>
          </w:p>
          <w:p>
            <w:pPr>
              <w:pStyle w:val="a3"/>
              <w:jc w:val="both"/>
              <w:ind w:left="0"/>
              <w:spacing w:line="288" w:lineRule="auto"/>
              <w:rPr>
                <w:sz w:val="28"/>
                <w:rFonts w:ascii="Times New Roman" w:hAnsi="Times New Roman"/>
              </w:rPr>
            </w:pPr>
          </w:p>
        </w:tc>
      </w:tr>
      <w:tr>
        <w:tc>
          <w:tcPr>
            <w:tcW w:w="1590" w:type="dxa"/>
            <w:shd w:fill="auto"/>
          </w:tcPr>
          <w:p>
            <w:pPr>
              <w:pStyle w:val="a3"/>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Universtitet tomonidan imzo chekuvchi shaxsning lavozimi va F.I.O.si</w:t>
              <w:fldChar w:fldCharType="end"/>
            </w:r>
          </w:p>
        </w:tc>
        <w:tc>
          <w:tcPr>
            <w:tcW w:w="2658" w:type="dxa"/>
            <w:shd w:fill="auto"/>
          </w:tcPr>
          <w:p>
            <w:pPr>
              <w:pStyle w:val="a3"/>
              <w:jc w:val="center"/>
              <w:ind w:left="42"/>
              <w:spacing w:line="288" w:lineRule="auto"/>
              <w:rPr>
                <w:b/>
                <w:sz w:val="28"/>
                <w:rFonts w:ascii="Times New Roman" w:hAnsi="Times New Roman"/>
              </w:rPr>
            </w:pPr>
            <w:r>
              <w:rPr>
                <w:sz w:val="28"/>
                <w:rFonts w:ascii="Times New Roman" w:hAnsi="Times New Roman"/>
              </w:rPr>
              <w:t>_____________</w:t>
            </w:r>
          </w:p>
        </w:tc>
        <w:tc>
          <w:tcPr>
            <w:tcW w:w="425" w:type="dxa"/>
          </w:tcPr>
          <w:p>
            <w:pPr>
              <w:pStyle w:val="a3"/>
              <w:jc w:val="both"/>
              <w:ind w:left="0"/>
              <w:spacing w:line="288" w:lineRule="auto"/>
              <w:rPr>
                <w:sz w:val="28"/>
                <w:rFonts w:ascii="Times New Roman" w:hAnsi="Times New Roman"/>
              </w:rPr>
            </w:pPr>
          </w:p>
        </w:tc>
        <w:tc>
          <w:tcPr>
            <w:tcW w:w="2270" w:type="dxa"/>
            <w:shd w:fill="auto"/>
          </w:tcPr>
          <w:p>
            <w:pPr>
              <w:pStyle w:val="a3"/>
              <w:ind w:left="0"/>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“Talaba”ning F.I.O.si</w:t>
              <w:fldChar w:fldCharType="end"/>
            </w:r>
          </w:p>
        </w:tc>
        <w:tc>
          <w:tcPr>
            <w:tcW w:w="2402" w:type="dxa"/>
            <w:shd w:fill="auto"/>
          </w:tcPr>
          <w:p>
            <w:pPr>
              <w:pStyle w:val="a3"/>
              <w:jc w:val="center"/>
              <w:ind w:left="0"/>
              <w:spacing w:line="288" w:lineRule="auto"/>
              <w:rPr>
                <w:b/>
                <w:sz w:val="28"/>
                <w:rFonts w:ascii="Times New Roman" w:hAnsi="Times New Roman"/>
              </w:rPr>
            </w:pPr>
            <w:r>
              <w:rPr>
                <w:sz w:val="28"/>
                <w:rFonts w:ascii="Times New Roman" w:hAnsi="Times New Roman"/>
              </w:rPr>
              <w:t>____________</w:t>
            </w:r>
          </w:p>
        </w:tc>
      </w:tr>
      <w:tr>
        <w:tc>
          <w:tcPr>
            <w:tcW w:w="1590" w:type="dxa"/>
            <w:shd w:fill="auto"/>
          </w:tcPr>
          <w:p>
            <w:pPr>
              <w:pStyle w:val="a3"/>
              <w:jc w:val="both"/>
              <w:ind w:left="0"/>
              <w:spacing w:line="288" w:lineRule="auto"/>
              <w:rPr>
                <w:sz w:val="28"/>
                <w:rFonts w:ascii="Times New Roman" w:hAnsi="Times New Roman"/>
              </w:rPr>
            </w:pPr>
          </w:p>
        </w:tc>
        <w:tc>
          <w:tcPr>
            <w:tcW w:w="2658" w:type="dxa"/>
            <w:shd w:fill="auto"/>
          </w:tcPr>
          <w:p>
            <w:pPr>
              <w:pStyle w:val="a3"/>
              <w:jc w:val="center"/>
              <w:ind w:left="42"/>
              <w:spacing w:line="288" w:lineRule="auto"/>
              <w:rPr>
                <w:i/>
                <w:sz w:val="24"/>
                <w:rFonts w:ascii="Times New Roman" w:hAnsi="Times New Roman"/>
              </w:rPr>
            </w:pPr>
            <w:r>
              <w:rPr>
                <w:i/>
                <w:sz w:val="24"/>
                <w:rFonts w:ascii="Times New Roman" w:hAnsi="Times New Roman"/>
              </w:rPr>
              <w:t xml:space="preserve">(Imzo, M.Oʻ)</w:t>
            </w:r>
          </w:p>
        </w:tc>
        <w:tc>
          <w:tcPr>
            <w:tcW w:w="425" w:type="dxa"/>
          </w:tcPr>
          <w:p>
            <w:pPr>
              <w:pStyle w:val="a3"/>
              <w:jc w:val="both"/>
              <w:ind w:left="0"/>
              <w:spacing w:line="288" w:lineRule="auto"/>
              <w:rPr>
                <w:sz w:val="28"/>
                <w:rFonts w:ascii="Times New Roman" w:hAnsi="Times New Roman"/>
              </w:rPr>
            </w:pPr>
          </w:p>
        </w:tc>
        <w:tc>
          <w:tcPr>
            <w:tcW w:w="2270" w:type="dxa"/>
            <w:shd w:fill="auto"/>
          </w:tcPr>
          <w:p>
            <w:pPr>
              <w:pStyle w:val="a3"/>
              <w:jc w:val="both"/>
              <w:ind w:left="0"/>
              <w:spacing w:line="288" w:lineRule="auto"/>
              <w:rPr>
                <w:sz w:val="28"/>
                <w:rFonts w:ascii="Times New Roman" w:hAnsi="Times New Roman"/>
              </w:rPr>
            </w:pPr>
          </w:p>
        </w:tc>
        <w:tc>
          <w:tcPr>
            <w:tcW w:w="2402" w:type="dxa"/>
            <w:shd w:fill="auto"/>
          </w:tcPr>
          <w:p>
            <w:pPr>
              <w:pStyle w:val="a3"/>
              <w:jc w:val="center"/>
              <w:ind w:left="417"/>
              <w:spacing w:line="288" w:lineRule="auto"/>
              <w:rPr>
                <w:sz w:val="28"/>
                <w:rFonts w:ascii="Times New Roman" w:hAnsi="Times New Roman"/>
              </w:rPr>
            </w:pPr>
            <w:r>
              <w:rPr>
                <w:i/>
                <w:sz w:val="24"/>
                <w:rFonts w:ascii="Times New Roman" w:hAnsi="Times New Roman"/>
              </w:rPr>
              <w:t>(Imzo)</w:t>
            </w:r>
          </w:p>
        </w:tc>
      </w:tr>
    </w:tbl>
    <w:p>
      <w:pPr>
        <w:jc w:val="center"/>
        <w:ind w:firstLine="425"/>
        <w:spacing w:after="0"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091"/>
    <w:rsid w:val="0001304A"/>
    <w:rsid w:val="00016203"/>
    <w:rsid w:val="00023563"/>
    <w:rsid w:val="00026F46"/>
    <w:rsid w:val="0004599B"/>
    <w:rsid w:val="00052B2A"/>
    <w:rsid w:val="000640CC"/>
    <w:rsid w:val="00066B45"/>
    <w:rsid w:val="00074120"/>
    <w:rsid w:val="000B53EB"/>
    <w:rsid w:val="000C07CE"/>
    <w:rsid w:val="000D2D04"/>
    <w:rsid w:val="00104293"/>
    <w:rsid w:val="001539B1"/>
    <w:rsid w:val="0016254B"/>
    <w:rsid w:val="00164A99"/>
    <w:rsid w:val="001729B0"/>
    <w:rsid w:val="00175AAA"/>
    <w:rsid w:val="001808DF"/>
    <w:rsid w:val="00180CDD"/>
    <w:rsid w:val="001846C5"/>
    <w:rsid w:val="00185015"/>
    <w:rsid w:val="001D04CA"/>
    <w:rsid w:val="00201806"/>
    <w:rsid w:val="00207217"/>
    <w:rsid w:val="00226E11"/>
    <w:rsid w:val="00245386"/>
    <w:rsid w:val="0026099D"/>
    <w:rsid w:val="00263B31"/>
    <w:rsid w:val="002731DD"/>
    <w:rsid w:val="00276FD0"/>
    <w:rsid w:val="002A06AD"/>
    <w:rsid w:val="002B66B4"/>
    <w:rsid w:val="002C2527"/>
    <w:rsid w:val="002C406F"/>
    <w:rsid w:val="002C4E3D"/>
    <w:rsid w:val="002E1E5A"/>
    <w:rsid w:val="002E28FC"/>
    <w:rsid w:val="00306996"/>
    <w:rsid w:val="003207B3"/>
    <w:rsid w:val="00330738"/>
    <w:rsid w:val="003327E9"/>
    <w:rsid w:val="00356CA4"/>
    <w:rsid w:val="003715D0"/>
    <w:rsid w:val="00371E8D"/>
    <w:rsid w:val="00382CD5"/>
    <w:rsid w:val="00392AC3"/>
    <w:rsid w:val="003A278A"/>
    <w:rsid w:val="003B3048"/>
    <w:rsid w:val="003B7C4F"/>
    <w:rsid w:val="003C1471"/>
    <w:rsid w:val="003C2FF1"/>
    <w:rsid w:val="003C5EF5"/>
    <w:rsid w:val="003D3F6D"/>
    <w:rsid w:val="003E1543"/>
    <w:rsid w:val="003E61BC"/>
    <w:rsid w:val="003F00E6"/>
    <w:rsid w:val="0040295A"/>
    <w:rsid w:val="00414B60"/>
    <w:rsid w:val="00422422"/>
    <w:rsid w:val="004241F2"/>
    <w:rsid w:val="00437756"/>
    <w:rsid w:val="00442077"/>
    <w:rsid w:val="00457D56"/>
    <w:rsid w:val="004663E8"/>
    <w:rsid w:val="00466844"/>
    <w:rsid w:val="00486519"/>
    <w:rsid w:val="004A7EC5"/>
    <w:rsid w:val="00503D21"/>
    <w:rsid w:val="00510487"/>
    <w:rsid w:val="00515C98"/>
    <w:rsid w:val="00553D31"/>
    <w:rsid w:val="00575B6A"/>
    <w:rsid w:val="00576FFC"/>
    <w:rsid w:val="00594356"/>
    <w:rsid w:val="00666B10"/>
    <w:rsid w:val="00677129"/>
    <w:rsid w:val="006C5681"/>
    <w:rsid w:val="006F4041"/>
    <w:rsid w:val="007038A5"/>
    <w:rsid w:val="00720BB1"/>
    <w:rsid w:val="0072459A"/>
    <w:rsid w:val="0073152C"/>
    <w:rsid w:val="00737C91"/>
    <w:rsid w:val="00737D1F"/>
    <w:rsid w:val="00742EE6"/>
    <w:rsid w:val="00753F8F"/>
    <w:rsid w:val="00767B62"/>
    <w:rsid w:val="00770FC9"/>
    <w:rsid w:val="007719E1"/>
    <w:rsid w:val="00772609"/>
    <w:rsid w:val="0078473E"/>
    <w:rsid w:val="007930DF"/>
    <w:rsid w:val="007A49F6"/>
    <w:rsid w:val="007A7216"/>
    <w:rsid w:val="007C4610"/>
    <w:rsid w:val="007D18FF"/>
    <w:rsid w:val="007D1B35"/>
    <w:rsid w:val="007D2605"/>
    <w:rsid w:val="00803310"/>
    <w:rsid w:val="00804B0C"/>
    <w:rsid w:val="00811FDF"/>
    <w:rsid w:val="00822FFD"/>
    <w:rsid w:val="00832AF7"/>
    <w:rsid w:val="00884EE6"/>
    <w:rsid w:val="008B14DF"/>
    <w:rsid w:val="008B58FA"/>
    <w:rsid w:val="008D533F"/>
    <w:rsid w:val="009439A9"/>
    <w:rsid w:val="0094578C"/>
    <w:rsid w:val="00985B57"/>
    <w:rsid w:val="00990F2C"/>
    <w:rsid w:val="00995122"/>
    <w:rsid w:val="009E2972"/>
    <w:rsid w:val="009E7FC8"/>
    <w:rsid w:val="009F4E1C"/>
    <w:rsid w:val="00A0361A"/>
    <w:rsid w:val="00A22E2C"/>
    <w:rsid w:val="00A238BC"/>
    <w:rsid w:val="00A33339"/>
    <w:rsid w:val="00A60439"/>
    <w:rsid w:val="00A64222"/>
    <w:rsid w:val="00A824D3"/>
    <w:rsid w:val="00A84855"/>
    <w:rsid w:val="00A8710C"/>
    <w:rsid w:val="00AA292D"/>
    <w:rsid w:val="00AD2E8F"/>
    <w:rsid w:val="00AE610F"/>
    <w:rsid w:val="00B07CF1"/>
    <w:rsid w:val="00B13A40"/>
    <w:rsid w:val="00B174A0"/>
    <w:rsid w:val="00B418F0"/>
    <w:rsid w:val="00B57655"/>
    <w:rsid w:val="00B76EB0"/>
    <w:rsid w:val="00B82EAA"/>
    <w:rsid w:val="00B85A45"/>
    <w:rsid w:val="00BA0558"/>
    <w:rsid w:val="00BB6B08"/>
    <w:rsid w:val="00BC0174"/>
    <w:rsid w:val="00BC1514"/>
    <w:rsid w:val="00BD0DFD"/>
    <w:rsid w:val="00BD142F"/>
    <w:rsid w:val="00BE7D3D"/>
    <w:rsid w:val="00C02D4E"/>
    <w:rsid w:val="00C03506"/>
    <w:rsid w:val="00C1228C"/>
    <w:rsid w:val="00C21BDF"/>
    <w:rsid w:val="00C37DA0"/>
    <w:rsid w:val="00C4436E"/>
    <w:rsid w:val="00C50811"/>
    <w:rsid w:val="00C65980"/>
    <w:rsid w:val="00C74269"/>
    <w:rsid w:val="00C75F6F"/>
    <w:rsid w:val="00C81A53"/>
    <w:rsid w:val="00C82B1B"/>
    <w:rsid w:val="00C84149"/>
    <w:rsid w:val="00C867F6"/>
    <w:rsid w:val="00C8760A"/>
    <w:rsid w:val="00CB1C4B"/>
    <w:rsid w:val="00CC443B"/>
    <w:rsid w:val="00CC6AD5"/>
    <w:rsid w:val="00CD2358"/>
    <w:rsid w:val="00CD2C41"/>
    <w:rsid w:val="00CF2E60"/>
    <w:rsid w:val="00CF33B4"/>
    <w:rsid w:val="00CF486B"/>
    <w:rsid w:val="00D14C42"/>
    <w:rsid w:val="00D240CF"/>
    <w:rsid w:val="00D26353"/>
    <w:rsid w:val="00D6065E"/>
    <w:rsid w:val="00D63241"/>
    <w:rsid w:val="00D638F6"/>
    <w:rsid w:val="00D707FF"/>
    <w:rsid w:val="00D72EAC"/>
    <w:rsid w:val="00D84E71"/>
    <w:rsid w:val="00D91AB8"/>
    <w:rsid w:val="00D96CCD"/>
    <w:rsid w:val="00DA7D68"/>
    <w:rsid w:val="00DA7FF3"/>
    <w:rsid w:val="00DC7356"/>
    <w:rsid w:val="00DD0456"/>
    <w:rsid w:val="00DF2F51"/>
    <w:rsid w:val="00DF2FE5"/>
    <w:rsid w:val="00E14AD7"/>
    <w:rsid w:val="00E45E03"/>
    <w:rsid w:val="00E57C85"/>
    <w:rsid w:val="00E57D01"/>
    <w:rsid w:val="00E6058A"/>
    <w:rsid w:val="00E82CC0"/>
    <w:rsid w:val="00E841B9"/>
    <w:rsid w:val="00E875DE"/>
    <w:rsid w:val="00E90091"/>
    <w:rsid w:val="00EA73CA"/>
    <w:rsid w:val="00EB10E1"/>
    <w:rsid w:val="00EB1C90"/>
    <w:rsid w:val="00EC11D0"/>
    <w:rsid w:val="00EC553F"/>
    <w:rsid w:val="00ED7068"/>
    <w:rsid w:val="00EE5758"/>
    <w:rsid w:val="00F272CA"/>
    <w:rsid w:val="00F4013E"/>
    <w:rsid w:val="00F41194"/>
    <w:rsid w:val="00F53E77"/>
    <w:rsid w:val="00F67493"/>
    <w:rsid w:val="00FB6DCB"/>
    <w:rsid w:val="00FE5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164FDD-29CF-4FAE-9CA2-5EDB4E863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7C85"/>
    <w:pPr>
      <w:ind w:left="720"/>
      <w:contextualSpacing/>
    </w:pPr>
  </w:style>
  <w:style w:type="paragraph" w:styleId="a4">
    <w:name w:val="No Spacing"/>
    <w:uiPriority w:val="1"/>
    <w:qFormat/>
    <w:rsid w:val="00666B1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1388</Words>
  <Characters>7915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2022-08-22T14:09:00Z</dcterms:created>
  <dcterms:modified xsi:type="dcterms:W3CDTF">2022-08-22T14:09:00Z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Universtitet</w:name>
    <w:value w:hidden="true">
      <w:unit w:active="false"/>
    </w:value>
  </w:element>
  <w:element w:id="6" w:kind="variable" w:selector="check" w:type="string" w:valueMode="normal" w:required="false" w:groupID="5">
    <w:identifier xml:space="preserve">ID6</w:identifier>
    <w:name xml:space="preserve">Universtitetning nomi, tashkiliy huquqiy shakli</w:name>
    <w:value w:hidden="false">
      <w:unit w:active="false"/>
    </w:value>
  </w:element>
  <w:element w:id="7" w:kind="variable" w:selector="check" w:type="string" w:valueMode="normal" w:required="false" w:groupID="5">
    <w:identifier xml:space="preserve">ID7</w:identifier>
    <w:name xml:space="preserve">Universtitetga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Universtitet tomonidan imzo chekuvchi shaxsning lavozimi va F.I.O.si</w:name>
    <w:value w:hidden="false">
      <w:unit w:active="false"/>
    </w:value>
  </w:element>
  <w:element w:id="9" w:kind="variable" w:selector="check" w:type="string" w:valueMode="normal" w:required="false" w:groupID="5">
    <w:identifier xml:space="preserve">ID9</w:identifier>
    <w:name xml:space="preserve">Universtitetning joylashgan manzili</w:name>
    <w:value w:hidden="false">
      <w:unit w:active="false"/>
    </w:value>
  </w:element>
  <w:element w:id="10" w:kind="variable" w:selector="check" w:type="number" w:valueMode="normal" w:required="false" w:groupID="5">
    <w:identifier xml:space="preserve">ID10</w:identifier>
    <w:name xml:space="preserve">Universtitetning hisob raqami</w:name>
    <w:value w:hidden="false">
      <w:unit w:active="false"/>
    </w:value>
  </w:element>
  <w:element w:id="11" w:kind="variable" w:selector="check" w:type="number" w:valueMode="normal" w:required="false" w:groupID="5">
    <w:identifier xml:space="preserve">ID11</w:identifier>
    <w:name xml:space="preserve">Universtitetning STIR raqami</w:name>
    <w:value w:hidden="false">
      <w:unit w:active="false"/>
    </w:value>
  </w:element>
  <w:element w:id="12" w:kind="variable" w:selector="check" w:type="string" w:valueMode="normal" w:required="false" w:groupID="5">
    <w:identifier xml:space="preserve">ID12</w:identifier>
    <w:name xml:space="preserve">Universtitetning pul operatsiyalarini amalga oshiruvchi bank nomi</w:name>
    <w:value w:hidden="false">
      <w:unit w:active="false"/>
    </w:value>
  </w:element>
  <w:element w:id="13" w:kind="variable" w:selector="check" w:type="number" w:valueMode="normal" w:required="false" w:groupID="5">
    <w:identifier xml:space="preserve">ID13</w:identifier>
    <w:name xml:space="preserve">Universtitetning telefon raqami</w:name>
    <w:value w:hidden="false">
      <w:unit w:active="false"/>
    </w:value>
  </w:element>
  <w:element w:id="14" w:kind="category" w:selector="check" w:type="string" w:valueMode="normal" w:required="false">
    <w:identifier xml:space="preserve">ID14</w:identifier>
    <w:name xml:space="preserve">III. “Talaba”</w:name>
    <w:value w:hidden="true">
      <w:unit w:active="false"/>
    </w:value>
  </w:element>
  <w:element w:id="15" w:kind="variable" w:selector="check" w:type="date" w:valueMode="normal" w:required="false" w:groupID="14">
    <w:identifier xml:space="preserve">ID15</w:identifier>
    <w:name xml:space="preserve">“Talaba”ning tug‘ilgan sanasi</w:name>
    <w:value w:hidden="false">
      <w:unit w:active="false"/>
    </w:value>
  </w:element>
  <w:element w:id="16" w:kind="variable" w:selector="check" w:type="string" w:valueMode="normal" w:required="false" w:groupID="14">
    <w:identifier xml:space="preserve">ID16</w:identifier>
    <w:name xml:space="preserve">“Talaba”ning yashash manzili</w:name>
    <w:value w:hidden="false">
      <w:unit w:active="false"/>
    </w:value>
  </w:element>
  <w:element w:id="17" w:kind="variable" w:selector="check" w:type="string" w:valueMode="normal" w:required="false" w:groupID="14">
    <w:identifier xml:space="preserve">ID17</w:identifier>
    <w:name xml:space="preserve">“Talaba”ning F.I.O.si</w:name>
    <w:value w:hidden="false">
      <w:unit w:active="false"/>
    </w:value>
  </w:element>
  <w:element w:id="18" w:kind="variable" w:selector="check" w:type="string" w:valueMode="normal" w:required="false" w:groupID="14">
    <w:identifier xml:space="preserve">ID18</w:identifier>
    <w:name xml:space="preserve">“Talaba”ning pasport seriyasi raqami</w:name>
    <w:value w:hidden="false">
      <w:unit w:active="false"/>
    </w:value>
  </w:element>
  <w:element w:id="19" w:kind="variable" w:selector="check" w:type="date" w:valueMode="normal" w:required="false" w:groupID="14">
    <w:identifier xml:space="preserve">ID19</w:identifier>
    <w:name xml:space="preserve">“Talaba”ga pasport berilgan yil</w:name>
    <w:value w:hidden="false">
      <w:unit w:active="false"/>
    </w:value>
  </w:element>
  <w:element w:id="20" w:kind="variable" w:selector="check" w:type="string" w:valueMode="normal" w:required="false" w:groupID="14">
    <w:identifier xml:space="preserve">ID20</w:identifier>
    <w:name xml:space="preserve">“Talaba”ga pasport berilgan hudud</w:name>
    <w:value w:hidden="false">
      <w:unit w:active="false"/>
      <w:binding w:dataSource="2" w:column="mia_name" w:search="true"/>
    </w:value>
  </w:element>
  <w:element w:id="21" w:kind="variable" w:selector="check" w:type="number" w:valueMode="normal" w:required="false" w:groupID="14">
    <w:identifier xml:space="preserve">ID21</w:identifier>
    <w:name xml:space="preserve">“Talaba”ning telefon raqami</w:name>
    <w:value w:hidden="false">
      <w:unit w:active="false"/>
    </w:value>
  </w:element>
  <w:element w:id="22" w:kind="category" w:selector="check" w:type="string" w:valueMode="normal" w:required="false">
    <w:identifier xml:space="preserve">ID22</w:identifier>
    <w:name xml:space="preserve">IV. Shartnoma shartlari</w:name>
    <w:value w:hidden="true">
      <w:unit w:active="false"/>
    </w:value>
  </w:element>
  <w:element w:id="23" w:kind="variable" w:selector="check" w:type="string" w:valueMode="normal" w:required="false" w:groupID="22">
    <w:identifier xml:space="preserve">ID23</w:identifier>
    <w:name xml:space="preserve">“Talaba” o‘qishi mo‘ljallanayotgan mutaxassislik nomi</w:name>
    <w:value w:hidden="false">
      <w:unit w:active="false"/>
    </w:value>
  </w:element>
  <w:element w:id="24" w:kind="variable" w:selector="check" w:type="string" w:valueMode="normal" w:required="false" w:groupID="22">
    <w:identifier xml:space="preserve">ID24</w:identifier>
    <w:name xml:space="preserve">“Talaba” o‘qishga qabul qilingan yil</w:name>
    <w:value w:hidden="false">
      <w:unit w:active="false"/>
    </w:value>
  </w:element>
  <w:element w:id="25" w:kind="variable" w:selector="check" w:type="string" w:valueMode="normal" w:required="false" w:groupID="22">
    <w:identifier xml:space="preserve">ID25</w:identifier>
    <w:name xml:space="preserve">“Talaba” o‘qishni bitiradigan yil</w:name>
    <w:value w:hidden="false">
      <w:unit w:active="false"/>
    </w:value>
  </w:element>
  <w:element w:id="26" w:kind="variable" w:selector="check" w:type="string" w:valueMode="normal" w:required="false" w:groupID="22">
    <w:identifier xml:space="preserve">ID26</w:identifier>
    <w:name xml:space="preserve">Universtitetning boshqa majburiyatlari</w:name>
    <w:value w:hidden="false">
      <w:unit w:active="false"/>
    </w:value>
  </w:element>
  <w:element w:id="27" w:kind="variable" w:selector="check" w:type="string" w:valueMode="normal" w:required="false" w:groupID="22">
    <w:identifier xml:space="preserve">ID27</w:identifier>
    <w:name xml:space="preserve">Universtitetning boshqa huquqlari</w:name>
    <w:value w:hidden="false">
      <w:unit w:active="false"/>
    </w:value>
  </w:element>
  <w:element w:id="28" w:kind="variable" w:selector="check" w:type="string" w:valueMode="normal" w:required="false" w:groupID="22">
    <w:identifier xml:space="preserve">ID28</w:identifier>
    <w:name xml:space="preserve">“Talaba” to‘lov pulining yarmini to‘lash muddati</w:name>
    <w:value w:hidden="false">
      <w:unit w:active="false"/>
    </w:value>
  </w:element>
  <w:element w:id="29" w:kind="variable" w:selector="check" w:type="string" w:valueMode="normal" w:required="false" w:groupID="22">
    <w:identifier xml:space="preserve">ID29</w:identifier>
    <w:name xml:space="preserve">To‘lovning qolgan qismini to‘lash muddati</w:name>
    <w:value w:hidden="false">
      <w:unit w:active="false"/>
    </w:value>
  </w:element>
  <w:element w:id="30" w:kind="variable" w:selector="check" w:type="string" w:valueMode="normal" w:required="false" w:groupID="22">
    <w:identifier xml:space="preserve">ID30</w:identifier>
    <w:name xml:space="preserve">“Talaba”ning boshqa majburiyatlari</w:name>
    <w:value w:hidden="false">
      <w:unit w:active="false"/>
    </w:value>
  </w:element>
  <w:element w:id="31" w:kind="variable" w:selector="check" w:type="string" w:valueMode="normal" w:required="false" w:groupID="22">
    <w:identifier xml:space="preserve">ID31</w:identifier>
    <w:name xml:space="preserve">“Talaba”ning boshqa huquqlari</w:name>
    <w:value w:hidden="false">
      <w:unit w:active="false"/>
    </w:value>
  </w:element>
  <w:element w:id="32" w:kind="variable" w:selector="check" w:type="string" w:valueMode="normal" w:required="false" w:groupID="22">
    <w:identifier xml:space="preserve">ID32</w:identifier>
    <w:name xml:space="preserve">“Talaba” tomonidan to‘lovlar to‘lash yili</w:name>
    <w:value w:hidden="false">
      <w:unit w:active="false"/>
    </w:value>
  </w:element>
  <w:element w:id="33" w:kind="variable" w:selector="check" w:type="string" w:valueMode="normal" w:required="false" w:groupID="22">
    <w:identifier xml:space="preserve">ID33</w:identifier>
    <w:name xml:space="preserve">Bir o‘quv yili uchun to‘lanadigan to‘lov miqdori</w:name>
    <w:value w:hidden="false">
      <w:unit w:active="false"/>
    </w:value>
  </w:element>
  <w:element w:id="34" w:kind="variable" w:selector="check" w:type="string" w:valueMode="normal" w:required="false" w:groupID="22">
    <w:identifier xml:space="preserve">ID34</w:identifier>
    <w:name xml:space="preserve">Nizoli holatlarda murojaat qilinishi belgilangan sud nomi</w:name>
    <w:value w:hidden="false">
      <w:unit w:active="false"/>
      <w:binding w:dataSource="3" w:column="court_name" w:search="false"/>
    </w:value>
  </w:element>
  <w:element w:id="35" w:kind="variable" w:selector="check" w:type="string" w:valueMode="normal" w:required="false" w:groupID="22">
    <w:identifier xml:space="preserve">ID35</w:identifier>
    <w:name xml:space="preserve">Shartnomaning amal qilish muddati</w:name>
    <w:value w:hidden="false">
      <w:unit w:active="false"/>
    </w:value>
  </w:element>
</w:structure>
</file>