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9355"/>
      </w:tblGrid>
      <w:tr>
        <w:tc>
          <w:tcPr>
            <w:tcW w:w="9571" w:type="dxa"/>
            <w:shd w:fill="auto"/>
          </w:tcPr>
          <w:p>
            <w:pPr>
              <w:jc w:val="right"/>
              <w:ind w:left="4794" w:firstLine="26"/>
              <w:spacing w:after="0" w:line="276" w:lineRule="auto"/>
              <w:rPr>
                <w:b/>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Daʼvo-ariza berilgan fuqarolik ishlari bo‘yicha viloyat sud nomi</w:t>
            </w:r>
            <w:r>
              <w:rPr>
                <w:b/>
                <w:vanish w:val="false"/>
                <w:sz w:val="24"/>
                <w:rFonts w:ascii="Times New Roman" w:hAnsi="Times New Roman"/>
              </w:rPr>
              <w:fldChar w:fldCharType="end"/>
            </w:r>
            <w:r>
              <w:rPr>
                <w:b/>
                <w:sz w:val="24"/>
                <w:rFonts w:ascii="Times New Roman" w:hAnsi="Times New Roman"/>
              </w:rPr>
              <w:t>ga</w:t>
            </w:r>
          </w:p>
        </w:tc>
      </w:tr>
      <w:tr>
        <w:tc>
          <w:tcPr>
            <w:tcW w:w="9571" w:type="dxa"/>
            <w:shd w:fill="auto"/>
          </w:tcPr>
          <w:p>
            <w:pPr>
              <w:jc w:val="right"/>
              <w:ind w:firstLine="4820"/>
              <w:spacing w:after="0" w:line="276" w:lineRule="auto"/>
              <w:rPr>
                <w:b/>
                <w:sz w:val="24"/>
                <w:rFonts w:ascii="Times New Roman" w:hAnsi="Times New Roman"/>
              </w:rPr>
            </w:pPr>
          </w:p>
          <w:p>
            <w:pPr>
              <w:jc w:val="right"/>
              <w:ind w:firstLine="4820"/>
              <w:spacing w:after="0" w:line="276" w:lineRule="auto"/>
              <w:rPr>
                <w:sz w:val="24"/>
                <w:rFonts w:ascii="Times New Roman" w:hAnsi="Times New Roman"/>
              </w:rPr>
            </w:pPr>
            <w:r>
              <w:rPr>
                <w:b/>
                <w:sz w:val="24"/>
                <w:rFonts w:ascii="Times New Roman" w:hAnsi="Times New Roman"/>
              </w:rPr>
              <w:t xml:space="preserve">Arizachi: </w:t>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Arizachining F.I.O.si</w:t>
            </w:r>
            <w:r>
              <w:rPr>
                <w:vanish w:val="false"/>
                <w:sz w:val="24"/>
                <w:rFonts w:ascii="Times New Roman" w:hAnsi="Times New Roman"/>
              </w:rPr>
              <w:fldChar w:fldCharType="end"/>
            </w:r>
          </w:p>
          <w:p>
            <w:pPr>
              <w:jc w:val="right"/>
              <w:ind w:firstLine="4820"/>
              <w:spacing w:after="0"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{"Y":6}</w:instrText>
              <w:fldChar w:fldCharType="separate"/>
              <w:t xml:space="preserve">Arizachining yashash manzili</w:t>
            </w:r>
            <w:r>
              <w:rPr>
                <w:vanish w:val="false"/>
                <w:sz w:val="24"/>
                <w:rFonts w:ascii="Times New Roman" w:hAnsi="Times New Roman"/>
              </w:rPr>
              <w:fldChar w:fldCharType="end"/>
            </w:r>
          </w:p>
          <w:p>
            <w:pPr>
              <w:jc w:val="right"/>
              <w:ind w:left="4794" w:firstLine="26"/>
              <w:spacing w:after="0" w:line="276" w:lineRule="auto"/>
              <w:rPr>
                <w:b/>
                <w:sz w:val="24"/>
                <w:rFonts w:ascii="Times New Roman" w:hAnsi="Times New Roman"/>
              </w:rPr>
            </w:pPr>
            <w:r>
              <w:rPr>
                <w:sz w:val="24"/>
                <w:rFonts w:ascii="Times New Roman" w:hAnsi="Times New Roman"/>
              </w:rPr>
              <w:t xml:space="preserve">Telefon: </w:t>
            </w:r>
            <w:r>
              <w:rPr>
                <w:vanish w:val="false"/>
                <w:sz w:val="24"/>
                <w:rFonts w:ascii="Times New Roman" w:hAnsi="Times New Roman"/>
              </w:rPr>
              <w:fldChar w:fldCharType="begin"/>
              <w:instrText xml:space="preserve">X {"Y":7}</w:instrText>
              <w:fldChar w:fldCharType="separate"/>
              <w:t xml:space="preserve">Arizachining telefon raqamlari</w:t>
            </w:r>
            <w:r>
              <w:rPr>
                <w:vanish w:val="false"/>
                <w:sz w:val="24"/>
                <w:rFonts w:ascii="Times New Roman" w:hAnsi="Times New Roman"/>
              </w:rPr>
              <w:fldChar w:fldCharType="end"/>
            </w:r>
          </w:p>
          <w:p>
            <w:pPr>
              <w:jc w:val="right"/>
              <w:ind w:left="4794" w:firstLine="26"/>
              <w:spacing w:after="0" w:line="276" w:lineRule="auto"/>
              <w:rPr>
                <w:b/>
                <w:sz w:val="24"/>
                <w:rFonts w:ascii="Times New Roman" w:hAnsi="Times New Roman"/>
              </w:rPr>
            </w:pPr>
            <w:r>
              <w:rPr>
                <w:sz w:val="24"/>
                <w:rFonts w:ascii="Times New Roman" w:hAnsi="Times New Roman"/>
              </w:rPr>
              <w:t xml:space="preserve">Pochta: </w:t>
            </w:r>
            <w:r>
              <w:rPr>
                <w:vanish w:val="false"/>
                <w:sz w:val="24"/>
                <w:rFonts w:ascii="Times New Roman" w:hAnsi="Times New Roman"/>
              </w:rPr>
              <w:fldChar w:fldCharType="begin"/>
              <w:instrText xml:space="preserve">X {"Y":8}</w:instrText>
              <w:fldChar w:fldCharType="separate"/>
              <w:t xml:space="preserve">Arizachining pochta (elektron) manzili</w:t>
            </w:r>
            <w:r>
              <w:rPr>
                <w:vanish w:val="false"/>
                <w:sz w:val="24"/>
                <w:rFonts w:ascii="Times New Roman" w:hAnsi="Times New Roman"/>
              </w:rPr>
              <w:fldChar w:fldCharType="end"/>
            </w:r>
          </w:p>
        </w:tc>
      </w:tr>
      <w:tr>
        <w:tc>
          <w:tcPr>
            <w:tcW w:w="9571" w:type="dxa"/>
            <w:shd w:fill="auto"/>
          </w:tcPr>
          <w:p>
            <w:pPr>
              <w:spacing w:after="0" w:line="276" w:lineRule="auto"/>
              <w:rPr>
                <w:b/>
                <w:sz w:val="24"/>
                <w:rFonts w:ascii="Times New Roman" w:hAnsi="Times New Roman"/>
              </w:rPr>
            </w:pPr>
          </w:p>
        </w:tc>
      </w:tr>
    </w:tbl>
    <w:p>
      <w:pPr>
        <w:jc w:val="center"/>
        <w:spacing w:after="0" w:line="276" w:lineRule="auto"/>
        <w:rPr>
          <w:sz w:val="24"/>
          <w:rFonts w:ascii="Times New Roman" w:hAnsi="Times New Roman"/>
        </w:rPr>
      </w:pPr>
    </w:p>
    <w:p>
      <w:pPr>
        <w:jc w:val="center"/>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 xml:space="preserve">ARIZA </w:t>
      </w:r>
    </w:p>
    <w:p>
      <w:pPr>
        <w:jc w:val="center"/>
        <w:shd w:fill="ffffff"/>
        <w:spacing w:after="0" w:line="276" w:lineRule="auto"/>
        <w:rPr>
          <w:i/>
          <w:sz w:val="24"/>
          <w:rFonts w:ascii="Times New Roman" w:hAnsi="Times New Roman"/>
        </w:rPr>
      </w:pPr>
      <w:r>
        <w:rPr>
          <w:i/>
          <w:sz w:val="24"/>
          <w:rFonts w:ascii="Times New Roman" w:hAnsi="Times New Roman"/>
        </w:rPr>
        <w:t xml:space="preserve">(Yer uchastkasiga nisbatan mulk huquqini tan olish toʻgʻrisida)</w:t>
      </w:r>
    </w:p>
    <w:p>
      <w:pPr>
        <w:jc w:val="both"/>
        <w:shd w:fill="ffffff"/>
        <w:ind w:firstLine="709"/>
        <w:spacing w:after="0" w:line="276" w:lineRule="auto"/>
        <w:rPr>
          <w:sz w:val="24"/>
          <w:rFonts w:ascii="Times New Roman" w:hAnsi="Times New Roman"/>
        </w:rPr>
      </w:pPr>
    </w:p>
    <w:p>
      <w:pPr>
        <w:jc w:val="both"/>
        <w:shd w:fill="ffffff"/>
        <w:ind w:firstLine="709"/>
        <w:spacing w:after="0" w:line="276" w:lineRule="auto"/>
        <w:rPr>
          <w:sz w:val="24"/>
          <w:rFonts w:ascii="Times New Roman" w:hAnsi="Times New Roman"/>
        </w:rPr>
      </w:pPr>
      <w:r>
        <w:rPr>
          <w:sz w:val="24"/>
          <w:rFonts w:ascii="Times New Roman" w:hAnsi="Times New Roman"/>
        </w:rPr>
        <w:t xml:space="preserve">Oʻzbekiston Respublikasi Vazirlar Mahkamasining 2021-yil 22-iyundagi </w:t>
        <w:br/>
        <w:t xml:space="preserve">389-sonli qarori bilan tasdiqlangan Davlat yer kadastrini yuritish tartibi toʻgʻrisidagi nizomga asosan, yer uchastkalariga boʻlgan mulk huquqini davlat roʻyxatidan oʻtkazish, yer miqdori va sifatini hisobga olish (tuproq bonitetini aniqlash), yerni qiymat jihatidan baholash, shuningdek yer kadastri axborotini tizimlashtirish, saqlash, yangilash va manfaatdor shaxslarga tegishli shakllar va hajmlarda berish yer kadastrining mazmunini tashkil etadi.</w:t>
      </w:r>
    </w:p>
    <w:p>
      <w:pPr>
        <w:jc w:val="both"/>
        <w:shd w:fill="ffffff"/>
        <w:ind w:firstLine="709"/>
        <w:spacing w:after="0" w:line="276" w:lineRule="auto"/>
        <w:rPr>
          <w:sz w:val="24"/>
          <w:rFonts w:ascii="Times New Roman" w:hAnsi="Times New Roman"/>
        </w:rPr>
      </w:pPr>
      <w:r>
        <w:rPr>
          <w:sz w:val="24"/>
          <w:rFonts w:ascii="Times New Roman" w:hAnsi="Times New Roman"/>
        </w:rPr>
        <w:t xml:space="preserve">Mulk huquqi subyektini, yer uchastkalariga egalik qilish va foydalanishni belgilovchi, yer uchastkasiga boʻlgan huquqlar kafolatlanishini taʼminlovchi, yerni hisobga olish va baholash uchun asos yaratuvchi yerni roʻyxatdan oʻtkazishga doir axborot yer kadastri axborotining asosiy, dastlabki tarkibiy qismi hisoblanadi.</w:t>
      </w:r>
    </w:p>
    <w:p>
      <w:pPr>
        <w:jc w:val="both"/>
        <w:shd w:fill="ffffff"/>
        <w:ind w:firstLine="709"/>
        <w:spacing w:after="0" w:line="276" w:lineRule="auto"/>
        <w:rPr>
          <w:sz w:val="24"/>
          <w:rFonts w:ascii="Times New Roman" w:hAnsi="Times New Roman"/>
        </w:rPr>
      </w:pPr>
      <w:r>
        <w:rPr>
          <w:sz w:val="24"/>
          <w:rFonts w:ascii="Times New Roman" w:hAnsi="Times New Roman"/>
        </w:rPr>
        <w:t xml:space="preserve">Dastlabki roʻyxatdan oʻtkazish axborotini shakllantirish paytida ishlarni oʻtkazish paytigacha tegishli hujjatlarni rasmiylashtirish bilan bogʻliq holda paydo boʻluvchi yer uchastkalariga boʻlgan huquqlar chegaralari belgilanadi va roʻyxatdan oʻtkaziladi (qayta roʻyxatdan oʻtkaziladi).</w:t>
      </w:r>
    </w:p>
    <w:p>
      <w:pPr>
        <w:jc w:val="both"/>
        <w:shd w:fill="ffffff"/>
        <w:ind w:firstLine="709"/>
        <w:spacing w:after="0" w:line="276" w:lineRule="auto"/>
        <w:rPr>
          <w:sz w:val="24"/>
          <w:rFonts w:ascii="Times New Roman" w:hAnsi="Times New Roman"/>
        </w:rPr>
      </w:pPr>
      <w:r>
        <w:rPr>
          <w:sz w:val="24"/>
          <w:rFonts w:ascii="Times New Roman" w:hAnsi="Times New Roman"/>
        </w:rPr>
        <w:t xml:space="preserve">Yer uchastkalariga boʻlgan mulk huquqi va boshqa ashyoviy huquqlar, ushbu huquqlarning paydo boʻlishi, boshqa shaxsga oʻtishi, cheklanishi va toʻxtatilishi qonun hujjatlarida belgilangan tartibda davlat roʻyxatidan oʻtkazilishi belgilangan.</w:t>
      </w:r>
    </w:p>
    <w:p>
      <w:pPr>
        <w:jc w:val="both"/>
        <w:shd w:fill="ffffff"/>
        <w:ind w:firstLine="709"/>
        <w:spacing w:after="0" w:line="276" w:lineRule="auto"/>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{"Y":10}</w:instrText>
        <w:fldChar w:fldCharType="separate"/>
        <w:t xml:space="preserve">Sotib olingan uy-joyning manzili</w:t>
      </w:r>
      <w:r>
        <w:rPr>
          <w:vanish w:val="false"/>
          <w:sz w:val="24"/>
          <w:rFonts w:ascii="Times New Roman" w:hAnsi="Times New Roman"/>
        </w:rPr>
        <w:fldChar w:fldCharType="end"/>
      </w:r>
      <w:r>
        <w:rPr>
          <w:sz w:val="24"/>
          <w:rFonts w:ascii="Times New Roman" w:hAnsi="Times New Roman"/>
        </w:rPr>
        <w:t xml:space="preserve"> manzilida joylashgan uy-joyni  </w:t>
      </w:r>
      <w:r>
        <w:rPr>
          <w:vanish w:val="false"/>
          <w:sz w:val="24"/>
          <w:rFonts w:ascii="Times New Roman" w:hAnsi="Times New Roman"/>
        </w:rPr>
        <w:fldChar w:fldCharType="begin"/>
        <w:instrText xml:space="preserve">X {"Y":13}</w:instrText>
        <w:fldChar w:fldCharType="separate"/>
        <w:t xml:space="preserve">Oldi-sotdi shartnomasi rasmiylashtirilgan sana</w:t>
      </w:r>
      <w:r>
        <w:rPr>
          <w:vanish w:val="false"/>
          <w:sz w:val="24"/>
          <w:rFonts w:ascii="Times New Roman" w:hAnsi="Times New Roman"/>
        </w:rPr>
        <w:fldChar w:fldCharType="end"/>
      </w:r>
      <w:r>
        <w:rPr>
          <w:sz w:val="24"/>
          <w:rFonts w:ascii="Times New Roman" w:hAnsi="Times New Roman"/>
        </w:rPr>
        <w:t xml:space="preserve"> kunidagi oldi-sotdi shartnomasiga koʻra javobgardan sotib olganman. Men uy-joy bilan birga ushbu uy-joyga tutash </w:t>
      </w:r>
      <w:r>
        <w:rPr>
          <w:vanish w:val="false"/>
          <w:sz w:val="24"/>
          <w:rFonts w:ascii="Times New Roman" w:hAnsi="Times New Roman"/>
        </w:rPr>
        <w:fldChar w:fldCharType="begin"/>
        <w:instrText xml:space="preserve">X {"Y":14}</w:instrText>
        <w:fldChar w:fldCharType="separate"/>
        <w:t xml:space="preserve">Mulk huquqi belgilanishi so‘ralayotgan yer maydonining hajmi</w:t>
      </w:r>
      <w:r>
        <w:rPr>
          <w:vanish w:val="false"/>
          <w:sz w:val="24"/>
          <w:rFonts w:ascii="Times New Roman" w:hAnsi="Times New Roman"/>
        </w:rPr>
        <w:fldChar w:fldCharType="end"/>
      </w:r>
      <w:r>
        <w:rPr>
          <w:sz w:val="24"/>
          <w:rFonts w:ascii="Times New Roman" w:hAnsi="Times New Roman"/>
        </w:rPr>
        <w:t xml:space="preserve"> yer maydoni ham bor. Ushbu yer boʻyicha qoʻshnilar bilan ham nizolar mavjud emas. Biroq, shartnomada yer uchaskasi qayd qilinmasdan qolib ketgan. Aslida, men koʻchmas mulkni unga tutush boʻlgan yer uchastkasi bilan birga sotib olganman. Shu sababli sudga murojaat qilishga majbur boʻldim.</w:t>
      </w:r>
    </w:p>
    <w:p>
      <w:pPr>
        <w:jc w:val="both"/>
        <w:shd w:fill="ffffff"/>
        <w:ind w:firstLine="709"/>
        <w:spacing w:after="0" w:line="276" w:lineRule="auto"/>
        <w:rPr>
          <w:sz w:val="24"/>
          <w:rFonts w:ascii="Times New Roman" w:hAnsi="Times New Roman"/>
        </w:rPr>
      </w:pPr>
      <w:r>
        <w:rPr>
          <w:sz w:val="24"/>
          <w:rFonts w:ascii="Times New Roman" w:hAnsi="Times New Roman"/>
        </w:rPr>
        <w:t xml:space="preserve">O‘zbekiston Respublikasi Konstitutsiyasining 41-moddasiga ko‘ra, har bir shaxs mulkdor bo‘lishga haqli.</w:t>
      </w:r>
    </w:p>
    <w:p>
      <w:pPr>
        <w:jc w:val="both"/>
        <w:shd w:fill="ffffff"/>
        <w:ind w:firstLine="709"/>
        <w:spacing w:after="0" w:line="276" w:lineRule="auto"/>
        <w:rPr>
          <w:sz w:val="24"/>
          <w:rFonts w:ascii="Times New Roman" w:hAnsi="Times New Roman"/>
        </w:rPr>
      </w:pPr>
      <w:r>
        <w:rPr>
          <w:sz w:val="24"/>
          <w:rFonts w:ascii="Times New Roman" w:hAnsi="Times New Roman"/>
        </w:rPr>
        <w:t xml:space="preserve">Oʻzbekiston Respublikasi Fuqarolik kodeksining 482-moddasi talabiga koʻra, bino, inshoot yoki boshqa koʻchmas mulkni sotish shartnomasiga binoan sotib oluvchiga bunday koʻchmas mulkka egalik huquqini topshirish bilan bir vaqtda ushbu koʻchmas mulk joylashgan va undan foydalanish uchun zarur boʻlgan yer uchastkasining muayyan qismiga boʻlgan huquqlar ham topshiriladi. Sotuvchi sotilayotgan koʻchmas mulk joylashgan yer uchastkasining mulkdori boʻlgan taqdirda sotib oluvchiga yer uchastkasining tegishli qismiga mulk huquqi yoki ijara huquqi yoxud koʻchmas mulkni sotish shartnomasida nazarda tutilgan boshqa huquq beriladi. Agar shartnomada koʻchmas mulkni sotib oluvchiga topshiriladigan tegishli yer uchastkasiga boʻlgan huquq belgilangan boʻlmasa, sotib oluvchiga yer uchastkasining koʻchmas mulk joylashgan va bu koʻchmas mulkdan foydalanish uchun zarur boʻlgan muayyan qismiga mulk huquqi oʻtadi. Sotuvchiga mulk huquqi asosida qarashli boʻlmagan yer uchastkasida joylashgan koʻchmas mulkni, agar bunday uchastkadan foydalanishning qonun yoki shartnomada belgilangan shartlariga zid boʻlmasa, ana shu yer uchastkasi mulkdorining roziligisiz sotishga yoʻl qoʻyiladi. Bunday koʻchmas mulk sotilganida sotib oluvchi koʻchmas mulkni sotayotgan shaxs yer uchastkasining tegishli qismidan qanday shartlarda foydalangan boʻlsa, oʻsha shartlarda foydalanish huquqini qoʻlga kiritadi.</w:t>
      </w:r>
    </w:p>
    <w:p>
      <w:pPr>
        <w:jc w:val="both"/>
        <w:shd w:fill="ffffff"/>
        <w:ind w:firstLine="709"/>
        <w:spacing w:after="0" w:line="276" w:lineRule="auto"/>
        <w:rPr>
          <w:sz w:val="24"/>
          <w:rFonts w:ascii="Times New Roman" w:hAnsi="Times New Roman"/>
        </w:rPr>
      </w:pPr>
      <w:r>
        <w:rPr>
          <w:sz w:val="24"/>
          <w:rFonts w:ascii="Times New Roman" w:hAnsi="Times New Roman"/>
        </w:rPr>
        <w:t xml:space="preserve">Oʻzbekiston Respublikasi Yer kodeksining 31, 33-35-modalarida yuridik va jismoniy shaxslarning yer uchastkasiga boʻlgan huquqi joyning oʻzida chegaralar belgilanganidan, yer uchastkalarining planlari (chizmalari) va tavsiflari tuzilib, yer uchastkalariga boʻlgan huquq davlat roʻyxatiga olinganidan keyin vujudga keladi.</w:t>
      </w:r>
    </w:p>
    <w:p>
      <w:pPr>
        <w:jc w:val="both"/>
        <w:ind w:firstLine="709"/>
        <w:spacing w:after="0" w:line="276" w:lineRule="auto"/>
        <w:rPr>
          <w:sz w:val="24"/>
          <w:rFonts w:ascii="Times New Roman" w:hAnsi="Times New Roman"/>
        </w:rPr>
      </w:pPr>
      <w:r>
        <w:rPr>
          <w:sz w:val="24"/>
          <w:rFonts w:ascii="Times New Roman" w:hAnsi="Times New Roman"/>
        </w:rPr>
        <w:t xml:space="preserve">Ko‘chmas mulk obyektlariga bo‘lgan huquqlarning davlat reyestridan elektron ko‘chirma yer uchastkasiga bo‘lgan huquqni tasdiqlovchi hujjatdir.</w:t>
      </w:r>
    </w:p>
    <w:p>
      <w:pPr>
        <w:jc w:val="both"/>
        <w:ind w:firstLine="709"/>
        <w:spacing w:after="0" w:line="276" w:lineRule="auto"/>
        <w:rPr>
          <w:sz w:val="24"/>
          <w:rFonts w:ascii="Times New Roman" w:hAnsi="Times New Roman"/>
        </w:rPr>
      </w:pPr>
      <w:r>
        <w:rPr>
          <w:sz w:val="24"/>
          <w:rFonts w:ascii="Times New Roman" w:hAnsi="Times New Roman"/>
        </w:rPr>
        <w:t xml:space="preserve">Ko‘chmas mulk obyektlariga bo‘lgan huquqlarning davlat reyestridan elektron ko‘chirma yer uchastkasiga bo‘lgan mulk huquqini beruvchi davlat orderi, viloyat va Toshkent shahar hokimining yer uchastkasini doimiy foydalanishga berish to‘g‘risidagi qarori, ijara shartnomasi, yer uchastkasi berilgan (ajratilgan) paytdagi qonunchilikka muvofiq yer uchastkasini berish (ajratish) vakolatiga ega bo‘lgan tashkilotlar va mansabdor shaxslarning hujjatlari, O‘zbekiston Respublikasi Davlat soliq qo‘mitasi huzuridagi Kadastr agentligining Davlat kadastrlari palatasi bo‘linmalarining yer uchastkasini bo‘lish haqidagi hujjatlari, sud qarori, oldi-sotdi shartnomasi, mulkdorlarning yoki ular vakolat bergan shaxslarning qarori asosida beriladi.</w:t>
      </w:r>
    </w:p>
    <w:p>
      <w:pPr>
        <w:jc w:val="both"/>
        <w:ind w:firstLine="709"/>
        <w:spacing w:after="0" w:line="276" w:lineRule="auto"/>
        <w:rPr>
          <w:sz w:val="24"/>
          <w:rFonts w:ascii="Times New Roman" w:hAnsi="Times New Roman"/>
        </w:rPr>
      </w:pPr>
      <w:r>
        <w:rPr>
          <w:sz w:val="24"/>
          <w:rFonts w:ascii="Times New Roman" w:hAnsi="Times New Roman"/>
        </w:rPr>
        <w:t xml:space="preserve">Yuridik va jismoniy shaxslarning yer uchastkalariga boʻlgan huquqlari davlat roʻyxatiga olinishi kerak.</w:t>
      </w:r>
    </w:p>
    <w:p>
      <w:pPr>
        <w:jc w:val="both"/>
        <w:ind w:firstLine="709"/>
        <w:spacing w:after="0" w:line="276" w:lineRule="auto"/>
        <w:rPr>
          <w:sz w:val="24"/>
          <w:rFonts w:ascii="Times New Roman" w:hAnsi="Times New Roman"/>
        </w:rPr>
      </w:pPr>
      <w:r>
        <w:rPr>
          <w:sz w:val="24"/>
          <w:rFonts w:ascii="Times New Roman" w:hAnsi="Times New Roman"/>
        </w:rPr>
        <w:t xml:space="preserve">Yuqordigalarga koʻra, Oʻzbekiston Respublikasi Fuqarolik kodeksining </w:t>
        <w:br/>
        <w:t xml:space="preserve">482-moddasi hamda Oʻzbekiston Respublikasi Fuqarolik protsessual kodeksining 188, 189 va 191-moddalariga asosan </w:t>
      </w:r>
    </w:p>
    <w:p>
      <w:pPr>
        <w:jc w:val="both"/>
        <w:ind w:firstLine="709"/>
        <w:spacing w:after="0" w:line="276" w:lineRule="auto"/>
        <w:rPr>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SOʻRAYMAN:</w:t>
      </w:r>
    </w:p>
    <w:p>
      <w:pPr>
        <w:jc w:val="both"/>
        <w:ind w:firstLine="709"/>
        <w:spacing w:after="0" w:line="276" w:lineRule="auto"/>
        <w:rPr>
          <w:sz w:val="24"/>
          <w:rFonts w:ascii="Times New Roman" w:hAnsi="Times New Roman"/>
        </w:rPr>
      </w:pPr>
    </w:p>
    <w:p>
      <w:pPr>
        <w:jc w:val="both"/>
        <w:ind w:firstLine="709"/>
        <w:spacing w:after="0" w:line="276" w:lineRule="auto"/>
        <w:rPr>
          <w:sz w:val="24"/>
          <w:rFonts w:ascii="Times New Roman" w:hAnsi="Times New Roman"/>
        </w:rPr>
      </w:pPr>
      <w:r>
        <w:rPr>
          <w:vanish w:val="false"/>
          <w:sz w:val="24"/>
          <w:rFonts w:ascii="Times New Roman" w:hAnsi="Times New Roman"/>
        </w:rPr>
        <w:fldChar w:fldCharType="begin"/>
        <w:instrText xml:space="preserve">X {"Y":10}</w:instrText>
        <w:fldChar w:fldCharType="separate"/>
        <w:t xml:space="preserve">Sotib olingan uy-joyning manzili</w:t>
      </w:r>
      <w:r>
        <w:rPr>
          <w:vanish w:val="false"/>
          <w:sz w:val="24"/>
          <w:rFonts w:ascii="Times New Roman" w:hAnsi="Times New Roman"/>
        </w:rPr>
        <w:fldChar w:fldCharType="end"/>
      </w:r>
      <w:r>
        <w:rPr>
          <w:sz w:val="24"/>
          <w:rFonts w:ascii="Times New Roman" w:hAnsi="Times New Roman"/>
        </w:rPr>
        <w:t xml:space="preserve">da joylashgan uy-joyga tutash yer uchastkasiga nisbatan mulk huquqimni belgilashingizni soʻrayman.</w:t>
      </w:r>
    </w:p>
    <w:p>
      <w:pPr>
        <w:jc w:val="both"/>
        <w:ind w:firstLine="709"/>
        <w:spacing w:after="0" w:line="276" w:lineRule="auto"/>
        <w:rPr>
          <w:sz w:val="24"/>
          <w:rFonts w:ascii="Times New Roman" w:hAnsi="Times New Roman"/>
        </w:rPr>
      </w:pPr>
    </w:p>
    <w:p>
      <w:pPr>
        <w:jc w:val="both"/>
        <w:ind w:firstLine="709"/>
        <w:spacing w:after="0" w:line="276" w:lineRule="auto"/>
        <w:rPr>
          <w:sz w:val="24"/>
          <w:rFonts w:ascii="Times New Roman" w:hAnsi="Times New Roman"/>
        </w:rPr>
      </w:pPr>
      <w:r>
        <w:rPr>
          <w:sz w:val="24"/>
          <w:rFonts w:ascii="Times New Roman" w:hAnsi="Times New Roman"/>
        </w:rPr>
        <w:t>Ilova:</w:t>
      </w:r>
    </w:p>
    <w:p>
      <w:pPr>
        <w:pStyle w:val="a8"/>
        <w:jc w:val="both"/>
        <w:ind w:left="709"/>
        <w:spacing w:after="0" w:line="276" w:lineRule="auto"/>
        <w:rPr>
          <w:sz w:val="24"/>
          <w:rFonts w:ascii="Times New Roman" w:hAnsi="Times New Roman"/>
        </w:rPr>
      </w:pPr>
      <w:r>
        <w:rPr>
          <w:sz w:val="24"/>
          <w:rFonts w:ascii="Times New Roman" w:hAnsi="Times New Roman"/>
        </w:rPr>
        <w:t xml:space="preserve">1. Daʼvo ariza nusxasi,</w:t>
      </w:r>
    </w:p>
    <w:p>
      <w:pPr>
        <w:pStyle w:val="a8"/>
        <w:jc w:val="both"/>
        <w:ind w:left="709"/>
        <w:spacing w:after="0" w:line="276" w:lineRule="auto"/>
        <w:rPr>
          <w:sz w:val="24"/>
          <w:rFonts w:ascii="Times New Roman" w:hAnsi="Times New Roman"/>
        </w:rPr>
      </w:pPr>
      <w:r>
        <w:rPr>
          <w:sz w:val="24"/>
          <w:rFonts w:ascii="Times New Roman" w:hAnsi="Times New Roman"/>
        </w:rPr>
        <w:t xml:space="preserve">2. Davlat boji nusxasi,</w:t>
      </w:r>
    </w:p>
    <w:p>
      <w:pPr>
        <w:jc w:val="both"/>
        <w:ind w:firstLine="709"/>
        <w:spacing w:after="0" w:line="276" w:lineRule="auto"/>
        <w:rPr>
          <w:sz w:val="24"/>
          <w:rFonts w:ascii="Times New Roman" w:hAnsi="Times New Roman"/>
        </w:rPr>
      </w:pPr>
      <w:r>
        <w:rPr>
          <w:sz w:val="24"/>
          <w:rFonts w:ascii="Times New Roman" w:hAnsi="Times New Roman"/>
        </w:rPr>
        <w:t xml:space="preserve">3. Pasport nusxasi, </w:t>
      </w:r>
    </w:p>
    <w:p>
      <w:pPr>
        <w:jc w:val="both"/>
        <w:ind w:firstLine="709"/>
        <w:spacing w:after="0" w:line="276" w:lineRule="auto"/>
        <w:rPr>
          <w:sz w:val="24"/>
          <w:rFonts w:ascii="Times New Roman" w:hAnsi="Times New Roman"/>
        </w:rPr>
      </w:pPr>
      <w:r>
        <w:rPr>
          <w:sz w:val="24"/>
          <w:rFonts w:ascii="Times New Roman" w:hAnsi="Times New Roman"/>
        </w:rPr>
        <w:t xml:space="preserve">4. Uy kadastr hujjatlari,</w:t>
      </w:r>
    </w:p>
    <w:p>
      <w:pPr>
        <w:jc w:val="both"/>
        <w:ind w:firstLine="709"/>
        <w:spacing w:after="0" w:line="276" w:lineRule="auto"/>
        <w:rPr>
          <w:sz w:val="24"/>
          <w:rFonts w:ascii="Times New Roman" w:hAnsi="Times New Roman"/>
        </w:rPr>
      </w:pPr>
      <w:r>
        <w:rPr>
          <w:sz w:val="24"/>
          <w:rFonts w:ascii="Times New Roman" w:hAnsi="Times New Roman"/>
        </w:rPr>
        <w:t xml:space="preserve">5. Yashash joydan maʼlumotnoma, </w:t>
      </w:r>
    </w:p>
    <w:p>
      <w:pPr>
        <w:jc w:val="both"/>
        <w:ind w:firstLine="709"/>
        <w:spacing w:after="0" w:line="276" w:lineRule="auto"/>
        <w:rPr>
          <w:sz w:val="24"/>
          <w:rFonts w:ascii="Times New Roman" w:hAnsi="Times New Roman"/>
        </w:rPr>
      </w:pPr>
      <w:r>
        <w:rPr>
          <w:sz w:val="24"/>
          <w:rFonts w:ascii="Times New Roman" w:hAnsi="Times New Roman"/>
        </w:rPr>
        <w:t xml:space="preserve">5. Daʼvo arizamni tasdiqlovchi boshqa hujjatlar.</w:t>
      </w:r>
    </w:p>
    <w:p>
      <w:pPr>
        <w:jc w:val="both"/>
        <w:ind w:firstLine="709"/>
        <w:spacing w:after="0" w:line="276" w:lineRule="auto"/>
        <w:rPr>
          <w:sz w:val="24"/>
          <w:rFonts w:ascii="Times New Roman" w:hAnsi="Times New Roman"/>
        </w:rPr>
      </w:pPr>
    </w:p>
    <w:tbl>
      <w:tblPr>
        <w:tblW w:w="0" w:type="auto"/>
      </w:tblPr>
      <w:tblGrid>
        <w:gridCol w:w="4670"/>
        <w:gridCol w:w="4685"/>
      </w:tblGrid>
      <w:tr>
        <w:tc>
          <w:tcPr>
            <w:tcW w:w="4785" w:type="dxa"/>
            <w:shd w:fill="auto"/>
          </w:tcPr>
          <w:p>
            <w:pPr>
              <w:jc w:val="center"/>
              <w:spacing w:after="0" w:line="276" w:lineRule="auto"/>
              <w:rPr>
                <w:sz w:val="24"/>
                <w:rFonts w:ascii="Times New Roman" w:hAnsi="Times New Roman"/>
              </w:rPr>
            </w:pPr>
          </w:p>
        </w:tc>
        <w:tc>
          <w:tcPr>
            <w:tcW w:w="4786" w:type="dxa"/>
            <w:shd w:fill="auto"/>
          </w:tcPr>
          <w:p>
            <w:pPr>
              <w:jc w:val="center"/>
              <w:spacing w:after="0" w:line="276" w:lineRule="auto"/>
              <w:rPr>
                <w:sz w:val="24"/>
                <w:rFonts w:ascii="Times New Roman" w:hAnsi="Times New Roman"/>
              </w:rPr>
            </w:pPr>
          </w:p>
        </w:tc>
      </w:tr>
      <w:tr>
        <w:tc>
          <w:tcPr>
            <w:tcW w:w="4785" w:type="dxa"/>
            <w:shd w:fill="auto"/>
          </w:tcPr>
          <w:p>
            <w:pPr>
              <w:jc w:val="center"/>
              <w:spacing w:after="0" w:line="276"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Arizachining F.I.O.si</w:t>
            </w:r>
            <w:r>
              <w:rPr>
                <w:vanish w:val="false"/>
                <w:sz w:val="24"/>
                <w:rFonts w:ascii="Times New Roman" w:hAnsi="Times New Roman"/>
              </w:rPr>
              <w:fldChar w:fldCharType="end"/>
            </w:r>
          </w:p>
        </w:tc>
        <w:tc>
          <w:tcPr>
            <w:tcW w:w="4786" w:type="dxa"/>
            <w:shd w:fill="auto"/>
          </w:tcPr>
          <w:p>
            <w:pPr>
              <w:jc w:val="center"/>
              <w:spacing w:after="0" w:line="276" w:lineRule="auto"/>
              <w:rPr>
                <w:sz w:val="24"/>
                <w:rFonts w:ascii="Times New Roman" w:hAnsi="Times New Roman"/>
              </w:rPr>
            </w:pPr>
            <w:r>
              <w:rPr>
                <w:sz w:val="24"/>
                <w:rFonts w:ascii="Times New Roman" w:hAnsi="Times New Roman"/>
              </w:rPr>
              <w:t>______________</w:t>
            </w:r>
          </w:p>
          <w:p>
            <w:pPr>
              <w:jc w:val="center"/>
              <w:spacing w:after="0" w:line="276" w:lineRule="auto"/>
              <w:rPr>
                <w:sz w:val="24"/>
                <w:rFonts w:ascii="Times New Roman" w:hAnsi="Times New Roman"/>
              </w:rPr>
            </w:pPr>
            <w:r>
              <w:rPr>
                <w:sz w:val="20"/>
                <w:rFonts w:ascii="Times New Roman" w:hAnsi="Times New Roman"/>
              </w:rPr>
              <w:t>(Imzo)</w:t>
            </w:r>
          </w:p>
        </w:tc>
      </w:tr>
      <w:tr>
        <w:tc>
          <w:tcPr>
            <w:tcW w:w="9571" w:type="dxa"/>
            <w:gridSpan w:val="2"/>
            <w:shd w:fill="auto"/>
          </w:tcPr>
          <w:p>
            <w:pPr>
              <w:jc w:val="right"/>
              <w:spacing w:after="0" w:line="276" w:lineRule="auto"/>
              <w:rPr>
                <w:sz w:val="24"/>
                <w:rFonts w:ascii="Times New Roman" w:hAnsi="Times New Roman"/>
              </w:rPr>
            </w:pPr>
          </w:p>
          <w:p>
            <w:pPr>
              <w:spacing w:after="0"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Ariza berilgan sana</w:t>
            </w:r>
            <w:r>
              <w:rPr>
                <w:vanish w:val="false"/>
                <w:sz w:val="24"/>
                <w:rFonts w:ascii="Times New Roman" w:hAnsi="Times New Roman"/>
              </w:rPr>
              <w:fldChar w:fldCharType="end"/>
            </w:r>
            <w:r>
              <w:rPr>
                <w:sz w:val="24"/>
                <w:rFonts w:ascii="Times New Roman" w:hAnsi="Times New Roman"/>
              </w:rPr>
              <w:t xml:space="preserve"> </w:t>
            </w:r>
          </w:p>
        </w:tc>
      </w:tr>
    </w:tbl>
    <w:p>
      <w:pPr>
        <w:spacing w:after="0" w:line="240" w:lineRule="auto"/>
        <w:rPr>
          <w:sz w:val="24"/>
          <w:rFonts w:ascii="Times New Roman" w:hAnsi="Times New Roman"/>
        </w:rPr>
      </w:pPr>
    </w:p>
    <w:p>
      <w:pPr>
        <w:spacing w:after="0" w:line="240" w:lineRule="auto"/>
        <w:rPr>
          <w:sz w:val="24"/>
          <w:rFonts w:ascii="Times New Roman" w:hAnsi="Times New Roman"/>
        </w:rPr>
      </w:pPr>
    </w:p>
    <w:p>
      <w:pPr>
        <w:spacing w:after="0" w:line="240" w:lineRule="auto"/>
        <w:rPr>
          <w:sz w:val="24"/>
          <w:rFonts w:ascii="Times New Roman" w:hAnsi="Times New Roman"/>
        </w:rPr>
      </w:pPr>
    </w:p>
    <w:p>
      <w:pPr>
        <w:spacing w:after="0"/>
        <w:rPr>
          <w:b/>
          <w:sz w:val="24"/>
          <w:rFonts w:ascii="Times New Roman" w:hAnsi="Times New Roman"/>
        </w:rPr>
      </w:pPr>
    </w:p>
    <w:sectPr>
      <w:pgSz w:w="11906" w:h="16838"/>
      <w:pgMar w:left="1701" w:right="850" w:top="709" w:bottom="28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7F2" w:rsidRDefault="00DD27F2" w:rsidP="00C36551">
      <w:pPr>
        <w:spacing w:after="0" w:line="240" w:lineRule="auto"/>
      </w:pPr>
      <w:r>
        <w:separator/>
      </w:r>
    </w:p>
  </w:endnote>
  <w:endnote w:type="continuationSeparator" w:id="0">
    <w:p w:rsidR="00DD27F2" w:rsidRDefault="00DD27F2"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7F2" w:rsidRDefault="00DD27F2" w:rsidP="00C36551">
      <w:pPr>
        <w:spacing w:after="0" w:line="240" w:lineRule="auto"/>
      </w:pPr>
      <w:r>
        <w:separator/>
      </w:r>
    </w:p>
  </w:footnote>
  <w:footnote w:type="continuationSeparator" w:id="0">
    <w:p w:rsidR="00DD27F2" w:rsidRDefault="00DD27F2"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0865E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49C3B6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DA6E92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D18A1B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3A6A1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FAC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9227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8437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58A75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7FCB3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957CF1"/>
    <w:multiLevelType w:val="hybridMultilevel"/>
    <w:tmpl w:val="9E0E2400"/>
    <w:lvl w:ilvl="0" w:tplc="8C32BEF0">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B449D8"/>
    <w:multiLevelType w:val="hybridMultilevel"/>
    <w:tmpl w:val="F5F2EAA8"/>
    <w:lvl w:ilvl="0" w:tplc="B8A4E11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7683B"/>
    <w:rsid w:val="00077A79"/>
    <w:rsid w:val="000914D5"/>
    <w:rsid w:val="000F0791"/>
    <w:rsid w:val="001706D6"/>
    <w:rsid w:val="00181B1D"/>
    <w:rsid w:val="00195CD5"/>
    <w:rsid w:val="001A6F8D"/>
    <w:rsid w:val="001F3620"/>
    <w:rsid w:val="00205470"/>
    <w:rsid w:val="00212FF0"/>
    <w:rsid w:val="00240A15"/>
    <w:rsid w:val="00256B47"/>
    <w:rsid w:val="0028367F"/>
    <w:rsid w:val="0028638A"/>
    <w:rsid w:val="002A3848"/>
    <w:rsid w:val="002C3D6A"/>
    <w:rsid w:val="002C6EFE"/>
    <w:rsid w:val="002D7553"/>
    <w:rsid w:val="003473C7"/>
    <w:rsid w:val="003602D2"/>
    <w:rsid w:val="003A610C"/>
    <w:rsid w:val="003B4D88"/>
    <w:rsid w:val="0040496C"/>
    <w:rsid w:val="004330CC"/>
    <w:rsid w:val="00457C68"/>
    <w:rsid w:val="0046137C"/>
    <w:rsid w:val="004C6A80"/>
    <w:rsid w:val="004D3E64"/>
    <w:rsid w:val="00501451"/>
    <w:rsid w:val="00506346"/>
    <w:rsid w:val="00523242"/>
    <w:rsid w:val="0053669E"/>
    <w:rsid w:val="005564D4"/>
    <w:rsid w:val="006B0638"/>
    <w:rsid w:val="006F0430"/>
    <w:rsid w:val="00735FD3"/>
    <w:rsid w:val="007866AD"/>
    <w:rsid w:val="007951AC"/>
    <w:rsid w:val="007A1FA4"/>
    <w:rsid w:val="007F01C3"/>
    <w:rsid w:val="00802A38"/>
    <w:rsid w:val="00804EA4"/>
    <w:rsid w:val="0081662C"/>
    <w:rsid w:val="00826E96"/>
    <w:rsid w:val="00830A34"/>
    <w:rsid w:val="00860964"/>
    <w:rsid w:val="008A7EA4"/>
    <w:rsid w:val="008C360D"/>
    <w:rsid w:val="008E4DC1"/>
    <w:rsid w:val="008E7D48"/>
    <w:rsid w:val="008F3A14"/>
    <w:rsid w:val="00923424"/>
    <w:rsid w:val="00932BFF"/>
    <w:rsid w:val="009B2A44"/>
    <w:rsid w:val="009B5561"/>
    <w:rsid w:val="009B7B4E"/>
    <w:rsid w:val="009E199B"/>
    <w:rsid w:val="00A156BC"/>
    <w:rsid w:val="00A62436"/>
    <w:rsid w:val="00A969BC"/>
    <w:rsid w:val="00AF5B50"/>
    <w:rsid w:val="00B64BD0"/>
    <w:rsid w:val="00B81108"/>
    <w:rsid w:val="00B859BA"/>
    <w:rsid w:val="00BC2B3C"/>
    <w:rsid w:val="00BD1B6F"/>
    <w:rsid w:val="00BE537E"/>
    <w:rsid w:val="00BF6AAE"/>
    <w:rsid w:val="00C36551"/>
    <w:rsid w:val="00C607F2"/>
    <w:rsid w:val="00C73C91"/>
    <w:rsid w:val="00C80A28"/>
    <w:rsid w:val="00CF2945"/>
    <w:rsid w:val="00D0170B"/>
    <w:rsid w:val="00D54B39"/>
    <w:rsid w:val="00D62602"/>
    <w:rsid w:val="00D6571D"/>
    <w:rsid w:val="00D7636E"/>
    <w:rsid w:val="00D80B1B"/>
    <w:rsid w:val="00D876AD"/>
    <w:rsid w:val="00D96F0C"/>
    <w:rsid w:val="00DA1CB1"/>
    <w:rsid w:val="00DA4AAF"/>
    <w:rsid w:val="00DD27F2"/>
    <w:rsid w:val="00E053AE"/>
    <w:rsid w:val="00E148A4"/>
    <w:rsid w:val="00E22A9B"/>
    <w:rsid w:val="00E54C07"/>
    <w:rsid w:val="00E8524F"/>
    <w:rsid w:val="00EA4ED9"/>
    <w:rsid w:val="00EC6CE5"/>
    <w:rsid w:val="00ED7C7F"/>
    <w:rsid w:val="00F47798"/>
    <w:rsid w:val="00F7367E"/>
    <w:rsid w:val="00F776DF"/>
    <w:rsid w:val="00F86B02"/>
    <w:rsid w:val="00FA2163"/>
    <w:rsid w:val="00FE3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28D61BE-19F0-408A-86C9-D6B1EFDB6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pPr>
    <w:rPr>
      <w:rFonts w:ascii="Courier New" w:eastAsia="Times New Roman" w:hAnsi="Courier New" w:cs="Courier New"/>
    </w:rPr>
  </w:style>
  <w:style w:type="paragraph" w:styleId="a3">
    <w:name w:val="footer"/>
    <w:basedOn w:val="a"/>
    <w:link w:val="a4"/>
    <w:uiPriority w:val="99"/>
    <w:rsid w:val="00B81108"/>
    <w:pPr>
      <w:tabs>
        <w:tab w:val="center" w:pos="4677"/>
        <w:tab w:val="right" w:pos="9355"/>
      </w:tabs>
    </w:pPr>
  </w:style>
  <w:style w:type="character" w:customStyle="1" w:styleId="a4">
    <w:name w:val="Нижний колонтитул Знак"/>
    <w:link w:val="a3"/>
    <w:uiPriority w:val="99"/>
    <w:locked/>
    <w:rsid w:val="00B81108"/>
    <w:rPr>
      <w:rFonts w:ascii="Calibri" w:hAnsi="Calibri" w:cs="Times New Roman"/>
    </w:rPr>
  </w:style>
  <w:style w:type="character" w:styleId="a5">
    <w:name w:val="Hyperlink"/>
    <w:uiPriority w:val="99"/>
    <w:rsid w:val="00B81108"/>
    <w:rPr>
      <w:rFonts w:cs="Times New Roman"/>
      <w:color w:val="0000FF"/>
      <w:u w:val="single"/>
    </w:rPr>
  </w:style>
  <w:style w:type="character" w:customStyle="1" w:styleId="clauseprfx1">
    <w:name w:val="clauseprfx1"/>
    <w:uiPriority w:val="99"/>
    <w:rsid w:val="00256B47"/>
    <w:rPr>
      <w:rFonts w:cs="Times New Roman"/>
    </w:rPr>
  </w:style>
  <w:style w:type="character" w:customStyle="1" w:styleId="clausesuff1">
    <w:name w:val="clausesuff1"/>
    <w:uiPriority w:val="99"/>
    <w:rsid w:val="00256B47"/>
    <w:rPr>
      <w:rFonts w:cs="Times New Roman"/>
    </w:rPr>
  </w:style>
  <w:style w:type="paragraph" w:styleId="a6">
    <w:name w:val="header"/>
    <w:basedOn w:val="a"/>
    <w:link w:val="a7"/>
    <w:uiPriority w:val="99"/>
    <w:semiHidden/>
    <w:rsid w:val="00C36551"/>
    <w:pPr>
      <w:tabs>
        <w:tab w:val="center" w:pos="4677"/>
        <w:tab w:val="right" w:pos="9355"/>
      </w:tabs>
      <w:spacing w:after="0" w:line="240" w:lineRule="auto"/>
    </w:pPr>
  </w:style>
  <w:style w:type="character" w:customStyle="1" w:styleId="a7">
    <w:name w:val="Верхний колонтитул Знак"/>
    <w:link w:val="a6"/>
    <w:uiPriority w:val="99"/>
    <w:semiHidden/>
    <w:locked/>
    <w:rsid w:val="00C36551"/>
    <w:rPr>
      <w:rFonts w:ascii="Calibri" w:hAnsi="Calibri" w:cs="Times New Roman"/>
    </w:rPr>
  </w:style>
  <w:style w:type="paragraph" w:styleId="a8">
    <w:name w:val="List Paragraph"/>
    <w:basedOn w:val="a"/>
    <w:uiPriority w:val="99"/>
    <w:qFormat/>
    <w:rsid w:val="0028638A"/>
    <w:pPr>
      <w:ind w:left="720"/>
      <w:contextualSpacing/>
    </w:pPr>
  </w:style>
  <w:style w:type="character" w:customStyle="1" w:styleId="BodyTextChar">
    <w:name w:val="Body Text Char"/>
    <w:uiPriority w:val="99"/>
    <w:locked/>
    <w:rsid w:val="004C6A80"/>
    <w:rPr>
      <w:sz w:val="24"/>
      <w:lang w:eastAsia="ru-RU"/>
    </w:rPr>
  </w:style>
  <w:style w:type="paragraph" w:styleId="a9">
    <w:name w:val="Body Text"/>
    <w:basedOn w:val="a"/>
    <w:link w:val="aa"/>
    <w:uiPriority w:val="99"/>
    <w:rsid w:val="004C6A80"/>
    <w:pPr>
      <w:spacing w:after="0" w:line="240" w:lineRule="auto"/>
      <w:jc w:val="both"/>
    </w:pPr>
    <w:rPr>
      <w:sz w:val="24"/>
      <w:szCs w:val="24"/>
      <w:lang w:eastAsia="ru-RU"/>
    </w:rPr>
  </w:style>
  <w:style w:type="character" w:customStyle="1" w:styleId="BodyTextChar1">
    <w:name w:val="Body Text Char1"/>
    <w:uiPriority w:val="99"/>
    <w:semiHidden/>
    <w:locked/>
    <w:rPr>
      <w:rFonts w:cs="Times New Roman"/>
      <w:lang w:eastAsia="en-US"/>
    </w:rPr>
  </w:style>
  <w:style w:type="character" w:customStyle="1" w:styleId="aa">
    <w:name w:val="Основной текст Знак"/>
    <w:link w:val="a9"/>
    <w:uiPriority w:val="99"/>
    <w:semiHidden/>
    <w:locked/>
    <w:rsid w:val="004C6A80"/>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94102">
      <w:marLeft w:val="0"/>
      <w:marRight w:val="0"/>
      <w:marTop w:val="0"/>
      <w:marBottom w:val="0"/>
      <w:divBdr>
        <w:top w:val="none" w:sz="0" w:space="0" w:color="auto"/>
        <w:left w:val="none" w:sz="0" w:space="0" w:color="auto"/>
        <w:bottom w:val="none" w:sz="0" w:space="0" w:color="auto"/>
        <w:right w:val="none" w:sz="0" w:space="0" w:color="auto"/>
      </w:divBdr>
      <w:divsChild>
        <w:div w:id="347294103">
          <w:marLeft w:val="0"/>
          <w:marRight w:val="0"/>
          <w:marTop w:val="100"/>
          <w:marBottom w:val="100"/>
          <w:divBdr>
            <w:top w:val="none" w:sz="0" w:space="0" w:color="auto"/>
            <w:left w:val="none" w:sz="0" w:space="0" w:color="auto"/>
            <w:bottom w:val="none" w:sz="0" w:space="0" w:color="auto"/>
            <w:right w:val="none" w:sz="0" w:space="0" w:color="auto"/>
          </w:divBdr>
          <w:divsChild>
            <w:div w:id="347294104">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347294106">
      <w:marLeft w:val="0"/>
      <w:marRight w:val="0"/>
      <w:marTop w:val="0"/>
      <w:marBottom w:val="0"/>
      <w:divBdr>
        <w:top w:val="none" w:sz="0" w:space="0" w:color="auto"/>
        <w:left w:val="none" w:sz="0" w:space="0" w:color="auto"/>
        <w:bottom w:val="none" w:sz="0" w:space="0" w:color="auto"/>
        <w:right w:val="none" w:sz="0" w:space="0" w:color="auto"/>
      </w:divBdr>
    </w:div>
    <w:div w:id="347294107">
      <w:marLeft w:val="0"/>
      <w:marRight w:val="0"/>
      <w:marTop w:val="0"/>
      <w:marBottom w:val="0"/>
      <w:divBdr>
        <w:top w:val="none" w:sz="0" w:space="0" w:color="auto"/>
        <w:left w:val="none" w:sz="0" w:space="0" w:color="auto"/>
        <w:bottom w:val="none" w:sz="0" w:space="0" w:color="auto"/>
        <w:right w:val="none" w:sz="0" w:space="0" w:color="auto"/>
      </w:divBdr>
      <w:divsChild>
        <w:div w:id="347294108">
          <w:marLeft w:val="0"/>
          <w:marRight w:val="0"/>
          <w:marTop w:val="60"/>
          <w:marBottom w:val="60"/>
          <w:divBdr>
            <w:top w:val="none" w:sz="0" w:space="0" w:color="auto"/>
            <w:left w:val="none" w:sz="0" w:space="0" w:color="auto"/>
            <w:bottom w:val="none" w:sz="0" w:space="0" w:color="auto"/>
            <w:right w:val="none" w:sz="0" w:space="0" w:color="auto"/>
          </w:divBdr>
        </w:div>
      </w:divsChild>
    </w:div>
    <w:div w:id="347294109">
      <w:marLeft w:val="0"/>
      <w:marRight w:val="0"/>
      <w:marTop w:val="0"/>
      <w:marBottom w:val="0"/>
      <w:divBdr>
        <w:top w:val="none" w:sz="0" w:space="0" w:color="auto"/>
        <w:left w:val="none" w:sz="0" w:space="0" w:color="auto"/>
        <w:bottom w:val="none" w:sz="0" w:space="0" w:color="auto"/>
        <w:right w:val="none" w:sz="0" w:space="0" w:color="auto"/>
      </w:divBdr>
    </w:div>
    <w:div w:id="347294110">
      <w:marLeft w:val="0"/>
      <w:marRight w:val="0"/>
      <w:marTop w:val="0"/>
      <w:marBottom w:val="0"/>
      <w:divBdr>
        <w:top w:val="none" w:sz="0" w:space="0" w:color="auto"/>
        <w:left w:val="none" w:sz="0" w:space="0" w:color="auto"/>
        <w:bottom w:val="none" w:sz="0" w:space="0" w:color="auto"/>
        <w:right w:val="none" w:sz="0" w:space="0" w:color="auto"/>
      </w:divBdr>
      <w:divsChild>
        <w:div w:id="347294105">
          <w:marLeft w:val="0"/>
          <w:marRight w:val="0"/>
          <w:marTop w:val="24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950</Words>
  <Characters>5417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2022-09-13T07:24:00Z</dcterms:created>
  <dcterms:modified xsi:type="dcterms:W3CDTF">2022-09-13T07:24:00Z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Daʼvo-ariza rekvizitlari</w:name>
    <w:value w:hidden="true">
      <w:unit w:active="false"/>
    </w:value>
  </w:element>
  <w:element w:id="2" w:kind="variable" w:selector="check" w:type="string" w:valueMode="normal" w:required="false" w:groupID="1">
    <w:identifier xml:space="preserve">ID2</w:identifier>
    <w:name xml:space="preserve">Daʼvo-ariza berilgan fuqarolik ishlari bo‘yicha viloyat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Arizachining F.I.O.si</w:name>
    <w:value w:hidden="false">
      <w:unit w:active="false"/>
    </w:value>
  </w:element>
  <w:element w:id="6" w:kind="variable" w:selector="check" w:type="string" w:valueMode="normal" w:required="false" w:groupID="4">
    <w:identifier xml:space="preserve">ID6</w:identifier>
    <w:name xml:space="preserve">Arizachining yashash manzili</w:name>
    <w:comment xml:space="preserve">Izoh: Ushbu bandga viloyat, tuman (shahar), mahalla, ko‘cha nomi va uy raqami ko‘rsatiladi</w:comment>
    <w:value w:hidden="false">
      <w:unit w:active="false"/>
    </w:value>
  </w:element>
  <w:element w:id="7" w:kind="variable" w:selector="check" w:type="string" w:valueMode="normal" w:required="false" w:groupID="4">
    <w:identifier xml:space="preserve">ID7</w:identifier>
    <w:name xml:space="preserve">Arizachining telefon raqamlari</w:name>
    <w:value w:hidden="false">
      <w:unit w:active="false"/>
    </w:value>
  </w:element>
  <w:element w:id="8" w:kind="variable" w:selector="check" w:type="string" w:valueMode="normal" w:required="false" w:groupID="4">
    <w:identifier xml:space="preserve">ID8</w:identifier>
    <w:name xml:space="preserve">Arizachining pochta (elektron) manzili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Sotib olingan uy-joyning manzili</w:name>
    <w:comment xml:space="preserve">Izoh: Viloyat, tuman (shahar), mahalla, ko‘cha nomi va uy raqami yoziladi</w:comment>
    <w:value w:hidden="false">
      <w:unit w:active="false"/>
    </w:value>
  </w:element>
  <w:element w:id="13" w:kind="variable" w:selector="check" w:type="string" w:valueMode="normal" w:required="false" w:groupID="9">
    <w:identifier xml:space="preserve">ID13</w:identifier>
    <w:name xml:space="preserve">Oldi-sotdi shartnomasi rasmiylashtirilgan sana</w:name>
    <w:value w:hidden="false">
      <w:unit w:active="false"/>
    </w:value>
  </w:element>
  <w:element w:id="14" w:kind="variable" w:selector="check" w:type="string" w:valueMode="normal" w:required="false" w:groupID="9">
    <w:identifier xml:space="preserve">ID14</w:identifier>
    <w:name xml:space="preserve">Mulk huquqi belgilanishi so‘ralayotgan yer maydonining hajmi</w:name>
    <w:comment xml:space="preserve">Izoh: Yer hajmi “sotix” o‘lchov birligida ko‘rsatiladi</w:comment>
    <w:value w:hidden="false">
      <w:unit w:active="false"/>
    </w:value>
  </w:element>
</w:structure>
</file>