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spacing w:after="244" w:line="318" w:lineRule="auto"/>
        <w:rPr>
          <w:b/>
          <w:sz w:val="24"/>
          <w:rFonts w:ascii="Times New Roman" w:hAnsi="Times New Roman"/>
        </w:rPr>
      </w:pPr>
      <w:r>
        <w:rPr>
          <w:b/>
          <w:sz w:val="24"/>
          <w:rFonts w:ascii="Times New Roman" w:hAnsi="Times New Roman"/>
        </w:rPr>
        <w:t xml:space="preserve">Yer usti transport vositalarini ixtiyoriy sugʻurta qilish hamda transport vositalari egalarining fuqarolik javobgarligini majburiy sugʻurta qilish bitimi</w:t>
      </w:r>
    </w:p>
    <w:p>
      <w:pPr>
        <w:pStyle w:val="a3"/>
        <w:jc w:val="center"/>
        <w:ind w:firstLine="29"/>
        <w:spacing w:before="15" w:beforeAutoSpacing="false" w:after="15" w:afterAutoSpacing="false"/>
        <w:rPr>
          <w:rStyle w:val="structures"/>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{"Y":5}</w:instrText>
        <w:fldChar w:fldCharType="separate"/>
      </w:r>
      <w:r>
        <w:rPr>
          <w:rStyle w:val="structures"/>
          <w:vanish w:val="false"/>
          <w:color w:val="000000"/>
          <w:sz w:val="28"/>
          <w:rFonts w:ascii="Times New Roman" w:hAnsi="Times New Roman"/>
        </w:rPr>
        <w:t xml:space="preserve">Shartnoma tuzilgan joy</w:t>
        <w:fldChar w:fldCharType="end"/>
      </w:r>
    </w:p>
    <w:p>
      <w:pPr>
        <w:pStyle w:val="a3"/>
        <w:jc w:val="both"/>
        <w:ind w:firstLine="29"/>
        <w:spacing w:before="15" w:beforeAutoSpacing="false" w:after="15" w:afterAutoSpacing="false"/>
        <w:rPr>
          <w:rStyle w:val="structures"/>
          <w:color w:val="000000"/>
          <w:sz w:val="28"/>
          <w:rFonts w:ascii="Times New Roman" w:hAnsi="Times New Roman"/>
        </w:rPr>
      </w:pPr>
      <w:r>
        <w:rPr>
          <w:sz w:val="28"/>
          <w:rFonts w:ascii="Times New Roman" w:hAnsi="Times New Roman"/>
        </w:rPr>
      </w:r>
    </w:p>
    <w:p>
      <w:pPr>
        <w:ind w:left="-13" w:right="42"/>
        <w:spacing w:after="295"/>
      </w:pPr>
      <w:r>
        <w:rPr>
          <w:b w:val="false"/>
          <w:vanish w:val="false"/>
          <w:sz w:val="24"/>
          <w:rFonts w:ascii="Times New Roman" w:hAnsi="Times New Roman"/>
        </w:rPr>
        <w:fldChar w:fldCharType="begin"/>
        <w:instrText xml:space="preserve">X {"Y":7}</w:instrText>
        <w:fldChar w:fldCharType="separate"/>
      </w:r>
      <w:r>
        <w:rPr>
          <w:b w:val="false"/>
          <w:vanish w:val="false"/>
          <w:sz w:val="24"/>
          <w:rFonts w:ascii="Times New Roman" w:hAnsi="Times New Roman"/>
        </w:rPr>
        <w:t xml:space="preserve">Sugʻurta kompaniyasining nomi</w:t>
        <w:fldChar w:fldCharType="end"/>
      </w:r>
      <w:r>
        <w:rPr>
          <w:b/>
          <w:sz w:val="24"/>
          <w:rFonts w:ascii="Times New Roman" w:hAnsi="Times New Roman"/>
        </w:rPr>
        <w:t xml:space="preserve"> Sugʻurta kompaniyasi </w:t>
      </w:r>
      <w:r>
        <w:rPr>
          <w:sz w:val="24"/>
          <w:rFonts w:ascii="Times New Roman" w:hAnsi="Times New Roman"/>
        </w:rPr>
        <w:t xml:space="preserve">(keyingi oʻrinlarda “Kompaniya”  deb yuritiladi) nomidan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Sugʻurta kompaniyasiga shartnoma tuzish huquqini beruvchi hujjat</w:t>
        <w:fldChar w:fldCharType="end"/>
      </w:r>
      <w:r>
        <w:rPr>
          <w:sz w:val="24"/>
          <w:rFonts w:ascii="Times New Roman" w:hAnsi="Times New Roman"/>
        </w:rPr>
        <w:t xml:space="preserve"> asosida faoliyat yurituvchi rahbari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Sugʻurta kompaniyasi rahbari F.I.O</w:t>
        <w:fldChar w:fldCharType="end"/>
      </w:r>
      <w:r>
        <w:rPr>
          <w:b/>
          <w:sz w:val="24"/>
          <w:rFonts w:ascii="Times New Roman" w:hAnsi="Times New Roman"/>
        </w:rPr>
        <w:t>,</w:t>
      </w:r>
      <w:r>
        <w:rPr>
          <w:sz w:val="24"/>
          <w:rFonts w:ascii="Times New Roman" w:hAnsi="Times New Roman"/>
        </w:rPr>
        <w:t xml:space="preserve"> bir tomondan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Agentning F.I.O</w:t>
        <w:fldChar w:fldCharType="end"/>
      </w:r>
      <w:r>
        <w:rPr>
          <w:sz w:val="24"/>
          <w:rFonts w:ascii="Times New Roman" w:hAnsi="Times New Roman"/>
        </w:rPr>
        <w:t xml:space="preserve"> (keyingi oʻrinlarda “Agent” deb yuritiladi), ikkinchi tomondan keyingi oʻrinda birga va/yoki alohida “Tomonlar”, mazkur Kelishuv (keyingi oʻrinlarda “Bitim” deb yuritiladi)ni quyidagilar haqida tuzdilar: </w:t>
      </w:r>
    </w:p>
    <w:p>
      <w:pPr>
        <w:pStyle w:val="1"/>
        <w:ind w:left="958" w:right="1690"/>
      </w:pPr>
      <w:r>
        <w:rPr>
          <w:b w:val="false"/>
          <w:sz w:val="24"/>
          <w:rFonts w:ascii="Times New Roman" w:hAnsi="Times New Roman"/>
        </w:rPr>
        <w:t xml:space="preserve">  </w:t>
      </w:r>
      <w:r>
        <w:rPr>
          <w:sz w:val="24"/>
          <w:rFonts w:ascii="Times New Roman" w:hAnsi="Times New Roman"/>
        </w:rPr>
        <w:t xml:space="preserve">I. BITIM PREDMETI </w:t>
      </w:r>
    </w:p>
    <w:p>
      <w:pPr>
        <w:ind w:left="-13" w:right="42"/>
      </w:pPr>
      <w:r>
        <w:rPr>
          <w:b/>
          <w:sz w:val="24"/>
          <w:rFonts w:ascii="Times New Roman" w:hAnsi="Times New Roman"/>
        </w:rPr>
        <w:t>1.1.</w:t>
      </w:r>
      <w:r>
        <w:rPr>
          <w:sz w:val="24"/>
          <w:rFonts w:ascii="Times New Roman" w:hAnsi="Times New Roman"/>
        </w:rPr>
        <w:t xml:space="preserve"> Agent Kompaniya nomidan quyidagi xizmatlar (keyingi oʻrinlarda “Xizmatlar” deb yuritiladi)ni amalga oshirishni oʻz zimmasiga oladi: </w:t>
      </w:r>
    </w:p>
    <w:p>
      <w:pPr>
        <w:ind w:left="-13" w:right="42"/>
      </w:pPr>
      <w:r>
        <w:rPr>
          <w:b w:val="false"/>
          <w:vanish w:val="false"/>
          <w:sz w:val="24"/>
          <w:rFonts w:ascii="Times New Roman" w:hAnsi="Times New Roman"/>
        </w:rPr>
        <w:fldChar w:fldCharType="begin"/>
        <w:instrText xml:space="preserve">X {"Y":12}</w:instrText>
        <w:fldChar w:fldCharType="separate"/>
      </w:r>
      <w:r>
        <w:rPr>
          <w:b w:val="false"/>
          <w:vanish w:val="false"/>
          <w:sz w:val="24"/>
          <w:rFonts w:ascii="Times New Roman" w:hAnsi="Times New Roman"/>
        </w:rPr>
        <w:t xml:space="preserve">Agent Kompaniya nomidan amalga oshirishi ko‘zda tutilgan xizmatlar nomi</w:t>
        <w:fldChar w:fldCharType="end"/>
      </w:r>
    </w:p>
    <w:p>
      <w:pPr>
        <w:ind w:left="-13" w:right="42"/>
      </w:pPr>
      <w:r>
        <w:rPr>
          <w:sz w:val="24"/>
          <w:rFonts w:ascii="Times New Roman" w:hAnsi="Times New Roman"/>
        </w:rPr>
        <w:t xml:space="preserve">Ushbu Bitim predmeti bilan bogʻliq Oʻzbekiston Respublikasi qonunchiligida taʼqiqlanmagan Kompaniyaning boshqa topshiriqlarini bajarish. </w:t>
      </w:r>
    </w:p>
    <w:p>
      <w:pPr>
        <w:jc w:val="left"/>
        <w:ind w:left="2637" w:right="0" w:hanging="10"/>
        <w:spacing w:after="105" w:line="259" w:lineRule="auto"/>
      </w:pPr>
      <w:r>
        <w:rPr>
          <w:b/>
          <w:sz w:val="24"/>
          <w:rFonts w:ascii="Times New Roman" w:hAnsi="Times New Roman"/>
        </w:rPr>
        <w:t xml:space="preserve">II. TOMONLARNING HUQUQ VA MAJBURIYATLARI</w:t>
      </w:r>
    </w:p>
    <w:p>
      <w:pPr>
        <w:jc w:val="left"/>
        <w:ind w:left="515" w:right="0" w:hanging="10"/>
        <w:spacing w:after="105" w:line="259" w:lineRule="auto"/>
      </w:pPr>
      <w:r>
        <w:rPr>
          <w:b/>
          <w:sz w:val="24"/>
          <w:rFonts w:ascii="Times New Roman" w:hAnsi="Times New Roman"/>
        </w:rPr>
        <w:tab/>
        <w:tab/>
        <w:t xml:space="preserve">2.1. AGENTning huquqlari: </w:t>
      </w:r>
    </w:p>
    <w:p>
      <w:pPr>
        <w:numPr>
          <w:numId w:val="3"/>
          <w:ilvl w:val="2"/>
        </w:numPr>
        <w:ind w:right="42" w:firstLine="643"/>
        <w:spacing w:after="108" w:line="259" w:lineRule="auto"/>
      </w:pPr>
      <w:r>
        <w:rPr>
          <w:sz w:val="24"/>
          <w:rFonts w:ascii="Times New Roman" w:hAnsi="Times New Roman"/>
        </w:rPr>
        <w:t xml:space="preserve">Sugʻurta masalalari boʻyicha Kompaniya bilan maslahatlashish; </w:t>
      </w:r>
    </w:p>
    <w:p>
      <w:pPr>
        <w:numPr>
          <w:numId w:val="3"/>
          <w:ilvl w:val="2"/>
        </w:numPr>
        <w:ind w:right="42" w:firstLine="643"/>
      </w:pPr>
      <w:r>
        <w:rPr>
          <w:sz w:val="24"/>
          <w:rFonts w:ascii="Times New Roman" w:hAnsi="Times New Roman"/>
        </w:rPr>
        <w:t xml:space="preserve">Sugʻurtalovchidan litsenziya, ustav kapitali miqdori, shuningdek uning moliyaviy barqarorligi va toʻlov qobiliyatliligini koʻrsatuvchi boshqa koʻrsatkichlarni olish; </w:t>
      </w:r>
    </w:p>
    <w:p>
      <w:pPr>
        <w:numPr>
          <w:numId w:val="3"/>
          <w:ilvl w:val="2"/>
        </w:numPr>
        <w:ind w:right="42" w:firstLine="643"/>
      </w:pPr>
      <w:r>
        <w:rPr>
          <w:sz w:val="24"/>
          <w:rFonts w:ascii="Times New Roman" w:hAnsi="Times New Roman"/>
        </w:rPr>
        <w:t xml:space="preserve">Kompaniya tomonidan tasdiqlangan sugʻurta agentlariga aloqador boʻlgan meʼyoriy hujjatlar va buyruqlardan xabardor boʻlish (tanishish); </w:t>
      </w:r>
    </w:p>
    <w:p>
      <w:pPr>
        <w:jc w:val="left"/>
        <w:ind w:left="707" w:right="0" w:hanging="10"/>
        <w:spacing w:after="105" w:line="259" w:lineRule="auto"/>
      </w:pPr>
      <w:r>
        <w:rPr>
          <w:b/>
          <w:sz w:val="24"/>
          <w:rFonts w:ascii="Times New Roman" w:hAnsi="Times New Roman"/>
        </w:rPr>
        <w:t xml:space="preserve">2.2. AGENTning majburiyatlari: </w:t>
      </w:r>
    </w:p>
    <w:p>
      <w:pPr>
        <w:numPr>
          <w:numId w:val="4"/>
          <w:ilvl w:val="2"/>
        </w:numPr>
        <w:ind w:right="42"/>
        <w:spacing w:after="114" w:line="259" w:lineRule="auto"/>
      </w:pPr>
      <w:r>
        <w:rPr>
          <w:sz w:val="24"/>
          <w:rFonts w:ascii="Times New Roman" w:hAnsi="Times New Roman"/>
        </w:rPr>
        <w:t xml:space="preserve">Xizmatlarni Bitimda belgilangan hajmda va muddatlarda bajarish; </w:t>
      </w:r>
    </w:p>
    <w:p>
      <w:pPr>
        <w:numPr>
          <w:numId w:val="4"/>
          <w:ilvl w:val="2"/>
        </w:numPr>
        <w:ind w:right="42"/>
        <w:spacing w:after="59" w:line="300" w:lineRule="auto"/>
      </w:pPr>
      <w:r>
        <w:rPr>
          <w:sz w:val="24"/>
          <w:rFonts w:ascii="Times New Roman" w:hAnsi="Times New Roman"/>
        </w:rPr>
        <w:t xml:space="preserve">Kompaniyaning topshiriqlarini oʻzining mavjud imkoniyatlari va ashyolaridan foydalangan holda bajarish. Topshiriqni uchinchi shaxsga berilishiga yoʻl qoʻyilmaydi. Topshiriq Agent tomonidan uchinchi shaxsga topshiriladigan boʻlsa, u holda Agent uchinchi shaxsning har qanday harakati uchun javobgar boʻladi;  </w:t>
      </w:r>
    </w:p>
    <w:p>
      <w:pPr>
        <w:numPr>
          <w:numId w:val="4"/>
          <w:ilvl w:val="2"/>
        </w:numPr>
        <w:ind w:right="42"/>
      </w:pPr>
      <w:r>
        <w:rPr>
          <w:sz w:val="24"/>
          <w:rFonts w:ascii="Times New Roman" w:hAnsi="Times New Roman"/>
        </w:rPr>
        <w:t xml:space="preserve">Jismoniy shaxslarga sugʻurta polislarini rasmiylashtirish uchun zarur hujjatlarni Kompaniyaning qoidalari va Oʻzbekiston Respublikasining amaldagi qonunchilik hujjatlari asosida tayyorlash hamda rasmiylashtirish; </w:t>
      </w:r>
    </w:p>
    <w:p>
      <w:pPr>
        <w:numPr>
          <w:numId w:val="4"/>
          <w:ilvl w:val="2"/>
        </w:numPr>
        <w:ind w:right="42"/>
        <w:spacing w:after="113" w:line="259" w:lineRule="auto"/>
      </w:pPr>
      <w:r>
        <w:rPr>
          <w:sz w:val="24"/>
          <w:rFonts w:ascii="Times New Roman" w:hAnsi="Times New Roman"/>
        </w:rPr>
        <w:t xml:space="preserve">Koʻrsatiladigan xizmat (ish) bilan bogʻliq</w:t>
      </w:r>
      <w:r>
        <w:rPr>
          <w:color w:val="ff0000"/>
          <w:sz w:val="24"/>
          <w:rFonts w:ascii="Times New Roman" w:hAnsi="Times New Roman"/>
        </w:rPr>
        <w:t xml:space="preserve"> </w:t>
      </w:r>
      <w:r>
        <w:rPr>
          <w:sz w:val="24"/>
          <w:rFonts w:ascii="Times New Roman" w:hAnsi="Times New Roman"/>
        </w:rPr>
        <w:t xml:space="preserve">malumotlar maxfiyligini taminlash; </w:t>
      </w:r>
    </w:p>
    <w:p>
      <w:pPr>
        <w:numPr>
          <w:numId w:val="4"/>
          <w:ilvl w:val="2"/>
        </w:numPr>
        <w:ind w:right="42"/>
        <w:spacing w:after="60" w:line="265" w:lineRule="auto"/>
      </w:pPr>
      <w:r>
        <w:rPr>
          <w:sz w:val="24"/>
          <w:rFonts w:ascii="Times New Roman" w:hAnsi="Times New Roman"/>
        </w:rPr>
        <w:t xml:space="preserve">Agent Oʻzbekiston Respublikasining “Jinoiy faoliyatdan olingan daromadlarni legallashtirishga va terrorizmni moliyalashtirishga qarshi kurashish toʻgʻrisida”gi Qonunida hamda Oʻzbekiston Respublikasi Moliya vazirligi va Bosh prokuratura huzuridagi soliq, valyutaga oid jinoyatlarga va jinoiy daromadlarni legallashtirishga qarshi kurashish departamentining 2009-yil </w:t>
        <w:br/>
        <w:t xml:space="preserve">13-oktabrdagi “Sugʻurtalovchilar va sugʻurta vositachilari uchun jinoiy faoliyatdan olingan daromadlarni legallashtirishga va terrorizmni moliyalashtirishga qarshi kurashish boʻyicha ichki nazorat Qoidalari”da taqiqlangan shubhali operatsiyalar xususida ogohlantirilgan. Ushbu Qarorga rioya qilishning yuridik masʼuliyati Agent zimmasiga yuklatiladi.</w:t>
      </w:r>
    </w:p>
    <w:p>
      <w:pPr>
        <w:jc w:val="left"/>
        <w:ind w:left="707" w:right="0" w:hanging="10"/>
        <w:spacing w:after="105" w:line="259" w:lineRule="auto"/>
      </w:pPr>
      <w:r>
        <w:rPr>
          <w:b/>
          <w:sz w:val="24"/>
          <w:rFonts w:ascii="Times New Roman" w:hAnsi="Times New Roman"/>
        </w:rPr>
        <w:tab/>
        <w:tab/>
        <w:tab/>
        <w:t xml:space="preserve">    2.3. Kompaniyaning huquqlari: </w:t>
      </w:r>
    </w:p>
    <w:p>
      <w:pPr>
        <w:ind w:left="-13" w:right="42"/>
      </w:pPr>
      <w:r>
        <w:rPr>
          <w:b/>
          <w:sz w:val="24"/>
          <w:rFonts w:ascii="Times New Roman" w:hAnsi="Times New Roman"/>
        </w:rPr>
        <w:t>2.3.1.</w:t>
      </w:r>
      <w:r>
        <w:rPr>
          <w:sz w:val="24"/>
          <w:rFonts w:ascii="Times New Roman" w:hAnsi="Times New Roman"/>
        </w:rPr>
        <w:t xml:space="preserve"> Agentdan Bitimda koʻzda tutilgan Xizmatlarni koʻrsatish boʻyicha majburiyatlarni toʻliq bajarilishini talab qilish. </w:t>
      </w:r>
    </w:p>
    <w:p>
      <w:pPr>
        <w:jc w:val="left"/>
        <w:ind w:left="707" w:right="0" w:hanging="10"/>
        <w:spacing w:after="105" w:line="259" w:lineRule="auto"/>
      </w:pPr>
      <w:r>
        <w:rPr>
          <w:b/>
          <w:sz w:val="24"/>
          <w:rFonts w:ascii="Times New Roman" w:hAnsi="Times New Roman"/>
        </w:rPr>
        <w:t xml:space="preserve">2.4. Kompaniyaning majburiyatlari: </w:t>
      </w:r>
    </w:p>
    <w:p>
      <w:pPr>
        <w:numPr>
          <w:numId w:val="2"/>
          <w:ilvl w:val="2"/>
        </w:numPr>
        <w:ind w:right="42"/>
        <w:spacing w:after="115" w:line="259" w:lineRule="auto"/>
      </w:pPr>
      <w:r>
        <w:rPr>
          <w:sz w:val="24"/>
          <w:rFonts w:ascii="Times New Roman" w:hAnsi="Times New Roman"/>
        </w:rPr>
        <w:t xml:space="preserve">Bitim boʻyicha majburiyatlarni bajarish uchun zarur boʻlgan hujjatlarni Agentga berish; </w:t>
      </w:r>
    </w:p>
    <w:p>
      <w:pPr>
        <w:numPr>
          <w:numId w:val="2"/>
          <w:ilvl w:val="2"/>
        </w:numPr>
        <w:ind w:right="42"/>
      </w:pPr>
      <w:r>
        <w:rPr>
          <w:sz w:val="24"/>
          <w:rFonts w:ascii="Times New Roman" w:hAnsi="Times New Roman"/>
        </w:rPr>
        <w:t xml:space="preserve">Agentni reklama materiallari va zaruriy hollarda ish yuritish jihozlari bilan taʼminlash; </w:t>
      </w:r>
    </w:p>
    <w:p>
      <w:pPr>
        <w:numPr>
          <w:numId w:val="2"/>
          <w:ilvl w:val="2"/>
        </w:numPr>
        <w:ind w:right="42"/>
        <w:spacing w:after="104" w:line="259" w:lineRule="auto"/>
      </w:pPr>
      <w:r>
        <w:rPr>
          <w:sz w:val="24"/>
          <w:rFonts w:ascii="Times New Roman" w:hAnsi="Times New Roman"/>
        </w:rPr>
        <w:t xml:space="preserve">Agentni raqamlangan sugʻurta polisi blanklari bilan taʼminlash; </w:t>
      </w:r>
    </w:p>
    <w:p>
      <w:pPr>
        <w:numPr>
          <w:numId w:val="2"/>
          <w:ilvl w:val="2"/>
        </w:numPr>
        <w:ind w:right="42"/>
        <w:spacing w:after="38" w:line="259" w:lineRule="auto"/>
      </w:pPr>
      <w:r>
        <w:rPr>
          <w:sz w:val="24"/>
          <w:rFonts w:ascii="Times New Roman" w:hAnsi="Times New Roman"/>
        </w:rPr>
        <w:t xml:space="preserve">Agentni sugʻurta agentlari reyestriga kiritish. </w:t>
      </w:r>
    </w:p>
    <w:p>
      <w:pPr>
        <w:jc w:val="left"/>
        <w:ind w:left="712" w:right="0" w:firstLine="0"/>
        <w:spacing w:after="21" w:line="259" w:lineRule="auto"/>
      </w:pPr>
      <w:r>
        <w:rPr>
          <w:sz w:val="24"/>
          <w:rFonts w:ascii="Times New Roman" w:hAnsi="Times New Roman"/>
        </w:rPr>
        <w:t xml:space="preserve"> </w:t>
      </w:r>
    </w:p>
    <w:p>
      <w:pPr>
        <w:jc w:val="center"/>
        <w:ind w:left="1433" w:right="0" w:firstLine="0"/>
        <w:spacing w:after="88" w:line="259" w:lineRule="auto"/>
      </w:pPr>
      <w:r>
        <w:rPr>
          <w:b/>
          <w:sz w:val="24"/>
          <w:rFonts w:ascii="Times New Roman" w:hAnsi="Times New Roman"/>
        </w:rPr>
        <w:t xml:space="preserve"> </w:t>
      </w:r>
    </w:p>
    <w:p>
      <w:pPr>
        <w:jc w:val="left"/>
        <w:ind w:left="2430" w:right="0" w:hanging="10"/>
        <w:spacing w:after="105" w:line="259" w:lineRule="auto"/>
      </w:pPr>
      <w:r>
        <w:rPr>
          <w:b/>
          <w:sz w:val="24"/>
          <w:rFonts w:ascii="Times New Roman" w:hAnsi="Times New Roman"/>
        </w:rPr>
        <w:t xml:space="preserve">III. TOMONLAR OʻRTASIDA OʻZARO HISOB-KITOB TARTIBI </w:t>
      </w:r>
    </w:p>
    <w:p>
      <w:pPr>
        <w:ind w:left="711" w:right="42" w:firstLine="0"/>
        <w:spacing w:after="114" w:line="259" w:lineRule="auto"/>
      </w:pPr>
      <w:r>
        <w:rPr>
          <w:b/>
          <w:sz w:val="24"/>
          <w:rFonts w:ascii="Times New Roman" w:hAnsi="Times New Roman"/>
        </w:rPr>
        <w:t>3.1.</w:t>
      </w:r>
      <w:r>
        <w:rPr>
          <w:b/>
          <w:sz w:val="24"/>
          <w:rFonts w:ascii="Times New Roman" w:hAnsi="Times New Roman"/>
        </w:rPr>
        <w:t xml:space="preserve"> </w:t>
      </w:r>
      <w:r>
        <w:rPr>
          <w:sz w:val="24"/>
          <w:rFonts w:ascii="Times New Roman" w:hAnsi="Times New Roman"/>
        </w:rPr>
        <w:t xml:space="preserve">Agentning komission mukofot miqdori:  </w:t>
      </w:r>
    </w:p>
    <w:p>
      <w:pPr>
        <w:ind w:left="711" w:right="42" w:firstLine="0"/>
        <w:spacing w:after="113" w:line="259" w:lineRule="auto"/>
      </w:pPr>
      <w:r>
        <w:rPr>
          <w:sz w:val="24"/>
          <w:rFonts w:ascii="Times New Roman" w:hAnsi="Times New Roman"/>
        </w:rPr>
        <w:t xml:space="preserve">– Yer usti transport vositalarini ixtiyoriy sugʻurta qilish sugʻurta turi boʻyicha –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Yer usti transport vositalarini ixtiyoriy sugʻurta qilish sugʻurta turi boʻyicha Agentga beriladigan foiz miqdori</w:t>
        <w:fldChar w:fldCharType="end"/>
      </w:r>
      <w:r>
        <w:rPr>
          <w:b/>
          <w:sz w:val="24"/>
          <w:rFonts w:ascii="Times New Roman" w:hAnsi="Times New Roman"/>
        </w:rPr>
        <w:t>%</w:t>
      </w:r>
      <w:r>
        <w:rPr>
          <w:sz w:val="24"/>
          <w:rFonts w:ascii="Times New Roman" w:hAnsi="Times New Roman"/>
        </w:rPr>
        <w:t xml:space="preserve">; </w:t>
      </w:r>
    </w:p>
    <w:p>
      <w:pPr>
        <w:ind w:left="711" w:right="42" w:firstLine="0"/>
      </w:pPr>
      <w:r>
        <w:rPr>
          <w:sz w:val="24"/>
          <w:rFonts w:ascii="Times New Roman" w:hAnsi="Times New Roman"/>
        </w:rPr>
        <w:t xml:space="preserve">– Transport vositalari egalarining fuqarolik javobgarligini majburiy sugʻurta qilish sugʻurta turi boʻyicha – </w:t>
      </w:r>
      <w:r>
        <w:rPr>
          <w:b w:val="false"/>
          <w:vanish w:val="false"/>
          <w:sz w:val="24"/>
          <w:rFonts w:ascii="Times New Roman" w:hAnsi="Times New Roman"/>
        </w:rPr>
        <w:fldChar w:fldCharType="begin"/>
        <w:instrText xml:space="preserve">X {"Y":14}</w:instrText>
        <w:fldChar w:fldCharType="separate"/>
      </w:r>
      <w:r>
        <w:rPr>
          <w:b w:val="false"/>
          <w:vanish w:val="false"/>
          <w:sz w:val="24"/>
          <w:rFonts w:ascii="Times New Roman" w:hAnsi="Times New Roman"/>
        </w:rPr>
        <w:t xml:space="preserve">Transport vositalari egalarining fuqarolik javobgarligini majburiy sugʻurta qilish sugʻurta turi boʻyicha Agentga beriladigan foiz miqdori</w:t>
        <w:fldChar w:fldCharType="end"/>
      </w:r>
      <w:r>
        <w:rPr>
          <w:b/>
          <w:sz w:val="24"/>
          <w:rFonts w:ascii="Times New Roman" w:hAnsi="Times New Roman"/>
        </w:rPr>
        <w:t>%</w:t>
      </w:r>
      <w:r>
        <w:rPr>
          <w:sz w:val="24"/>
          <w:rFonts w:ascii="Times New Roman" w:hAnsi="Times New Roman"/>
        </w:rPr>
        <w:t xml:space="preserve">. </w:t>
      </w:r>
    </w:p>
    <w:p>
      <w:pPr>
        <w:numPr>
          <w:numId w:val="7"/>
          <w:ilvl w:val="1"/>
        </w:numPr>
        <w:ind w:right="42"/>
      </w:pPr>
      <w:r>
        <w:rPr>
          <w:sz w:val="24"/>
          <w:rFonts w:ascii="Times New Roman" w:hAnsi="Times New Roman"/>
        </w:rPr>
        <w:t xml:space="preserve">Agentga komission mukofot Tomonlar oʻrtasida Agent tomonidan taqdim etilgan bajarilgan ishlar dalolatnomasi imzolangandan soʻng (</w:t>
      </w:r>
      <w:r>
        <w:rPr>
          <w:i/>
          <w:sz w:val="24"/>
          <w:rFonts w:ascii="Times New Roman" w:hAnsi="Times New Roman"/>
        </w:rPr>
        <w:t xml:space="preserve">bajarilgan ishlar dalolatnomasi haqqoniyligi va undagi maʼlumotlarning toʻgʻriligi tasdiqlangan holda</w:t>
      </w:r>
      <w:r>
        <w:rPr>
          <w:sz w:val="24"/>
          <w:rFonts w:ascii="Times New Roman" w:hAnsi="Times New Roman"/>
        </w:rPr>
        <w:t xml:space="preserve">) toʻlanadi. </w:t>
      </w:r>
    </w:p>
    <w:p>
      <w:pPr>
        <w:pStyle w:val="1"/>
        <w:ind w:left="958" w:right="300"/>
      </w:pPr>
      <w:r>
        <w:rPr>
          <w:sz w:val="24"/>
          <w:rFonts w:ascii="Times New Roman" w:hAnsi="Times New Roman"/>
        </w:rPr>
        <w:t>IV.</w:t>
      </w:r>
      <w:r>
        <w:rPr>
          <w:sz w:val="24"/>
          <w:rFonts w:ascii="Times New Roman" w:hAnsi="Times New Roman"/>
        </w:rPr>
        <w:t xml:space="preserve"> </w:t>
      </w:r>
      <w:r>
        <w:rPr>
          <w:sz w:val="24"/>
          <w:rFonts w:ascii="Times New Roman" w:hAnsi="Times New Roman"/>
        </w:rPr>
        <w:t xml:space="preserve">TOMONLARNING JAVOBGARLIKLARI </w:t>
      </w:r>
    </w:p>
    <w:p>
      <w:pPr>
        <w:jc w:val="left"/>
        <w:ind w:left="707" w:right="0" w:hanging="10"/>
        <w:spacing w:after="105" w:line="259" w:lineRule="auto"/>
      </w:pPr>
      <w:r>
        <w:rPr>
          <w:b/>
          <w:sz w:val="24"/>
          <w:rFonts w:ascii="Times New Roman" w:hAnsi="Times New Roman"/>
        </w:rPr>
        <w:t>4.1.</w:t>
      </w:r>
      <w:r>
        <w:rPr>
          <w:sz w:val="24"/>
          <w:rFonts w:ascii="Times New Roman" w:hAnsi="Times New Roman"/>
        </w:rPr>
        <w:t xml:space="preserve"> </w:t>
      </w:r>
      <w:r>
        <w:rPr>
          <w:b/>
          <w:sz w:val="24"/>
          <w:rFonts w:ascii="Times New Roman" w:hAnsi="Times New Roman"/>
        </w:rPr>
        <w:t xml:space="preserve">Bitim boʻyicha Agentning javobgarligi: </w:t>
      </w:r>
      <w:r>
        <w:rPr>
          <w:sz w:val="24"/>
          <w:rFonts w:ascii="Times New Roman" w:hAnsi="Times New Roman"/>
        </w:rPr>
        <w:t xml:space="preserve"> </w:t>
      </w:r>
    </w:p>
    <w:p>
      <w:pPr>
        <w:ind w:left="-13" w:right="42"/>
      </w:pPr>
      <w:r>
        <w:rPr>
          <w:b/>
          <w:sz w:val="24"/>
          <w:rFonts w:ascii="Times New Roman" w:hAnsi="Times New Roman"/>
        </w:rPr>
        <w:t>4.1.1</w:t>
      </w:r>
      <w:r>
        <w:rPr>
          <w:sz w:val="24"/>
          <w:rFonts w:ascii="Times New Roman" w:hAnsi="Times New Roman"/>
        </w:rPr>
        <w:t xml:space="preserve">. Agar Agent sugʻurta shartnomalari boʻyicha toʻlangan sugʻurta mukofotini Kompaniyaga oʻtkazib berish majburiyatlari oʻz vaqtida bajarilmagan taqdirda, har bir kechiktirilgan toʻlov kuni uchun Agent rasmiylashtirgan (tuzilgan) sugʻurta shartnoma (polis)lari boʻyicha uning hisob raqamiga kelib tushgan va Kompaniyaga oʻtkazib berilmagan sugʻurta mukofotining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Taraflar tomonidan to‘lanishi mumkin bo‘lgan penya miqdori</w:t>
        <w:fldChar w:fldCharType="end"/>
      </w:r>
      <w:r>
        <w:rPr>
          <w:sz w:val="24"/>
          <w:rFonts w:ascii="Times New Roman" w:hAnsi="Times New Roman"/>
        </w:rPr>
        <w:t xml:space="preserve"> % miqdorida Kompaniyaga penya toʻlaydi. Bunda penyaning umumiy miqdori bajarilmagan majburiyat qiymatining 50 foizidan oshmasligi kerak.   </w:t>
      </w:r>
    </w:p>
    <w:p>
      <w:pPr>
        <w:ind w:left="-13" w:right="42"/>
      </w:pPr>
      <w:r>
        <w:rPr>
          <w:sz w:val="24"/>
          <w:rFonts w:ascii="Times New Roman" w:hAnsi="Times New Roman"/>
        </w:rPr>
        <w:t xml:space="preserve"> </w:t>
      </w:r>
      <w:r>
        <w:rPr>
          <w:b/>
          <w:sz w:val="24"/>
          <w:rFonts w:ascii="Times New Roman" w:hAnsi="Times New Roman"/>
        </w:rPr>
        <w:t>4.1.2.</w:t>
      </w:r>
      <w:r>
        <w:rPr>
          <w:sz w:val="24"/>
          <w:rFonts w:ascii="Times New Roman" w:hAnsi="Times New Roman"/>
        </w:rPr>
        <w:t xml:space="preserve"> Jarima va penyaning toʻlanishi Agentni Kompaniyaga yetkazgan zararini hamda yoʻqotilgan foydani qoplash majburiyatidan ozod qilmaydi; </w:t>
      </w:r>
    </w:p>
    <w:p>
      <w:pPr>
        <w:ind w:left="-13" w:right="42"/>
        <w:spacing w:line="296" w:lineRule="auto"/>
      </w:pPr>
      <w:r>
        <w:rPr>
          <w:b/>
          <w:sz w:val="24"/>
          <w:rFonts w:ascii="Times New Roman" w:hAnsi="Times New Roman"/>
        </w:rPr>
        <w:t>4.1.3.</w:t>
      </w:r>
      <w:r>
        <w:rPr>
          <w:sz w:val="24"/>
          <w:rFonts w:ascii="Times New Roman" w:hAnsi="Times New Roman"/>
        </w:rPr>
        <w:t xml:space="preserve"> Agent sugʻurta polisini voqea (hodisa) sodir etilganidan soʻng rasmiylashtirganligi, shuningdek sugʻurta polisi blankini uchinchi shaxsga berishi natijasida Kompaniyaga yetkazilgan zararni toʻliq hajmda, lekin muayyan sugʻurta polisida belgilangan sugʻurta summasidan koʻp boʻlmagan miqdorda qoplaydi. </w:t>
      </w:r>
    </w:p>
    <w:p>
      <w:pPr>
        <w:jc w:val="left"/>
        <w:ind w:left="712" w:right="0" w:firstLine="0"/>
        <w:spacing w:after="96" w:line="259" w:lineRule="auto"/>
      </w:pPr>
      <w:r>
        <w:rPr>
          <w:sz w:val="24"/>
          <w:rFonts w:ascii="Times New Roman" w:hAnsi="Times New Roman"/>
        </w:rPr>
        <w:t xml:space="preserve">  </w:t>
      </w:r>
    </w:p>
    <w:p>
      <w:pPr>
        <w:pStyle w:val="1"/>
        <w:ind w:left="958" w:right="291"/>
      </w:pPr>
      <w:r>
        <w:rPr>
          <w:sz w:val="24"/>
          <w:rFonts w:ascii="Times New Roman" w:hAnsi="Times New Roman"/>
        </w:rPr>
        <w:t>V.</w:t>
      </w:r>
      <w:r>
        <w:rPr>
          <w:sz w:val="24"/>
          <w:rFonts w:ascii="Times New Roman" w:hAnsi="Times New Roman"/>
        </w:rPr>
        <w:t xml:space="preserve"> </w:t>
      </w:r>
      <w:r>
        <w:rPr>
          <w:sz w:val="24"/>
          <w:rFonts w:ascii="Times New Roman" w:hAnsi="Times New Roman"/>
        </w:rPr>
        <w:t xml:space="preserve">AMAL QILISH MUDDATI </w:t>
      </w:r>
    </w:p>
    <w:p>
      <w:pPr>
        <w:ind w:left="-13" w:right="42"/>
      </w:pPr>
      <w:r>
        <w:rPr>
          <w:b/>
          <w:sz w:val="24"/>
          <w:rFonts w:ascii="Times New Roman" w:hAnsi="Times New Roman"/>
        </w:rPr>
        <w:t>5.1</w:t>
      </w:r>
      <w:r>
        <w:rPr>
          <w:sz w:val="24"/>
          <w:rFonts w:ascii="Times New Roman" w:hAnsi="Times New Roman"/>
        </w:rPr>
        <w:t xml:space="preserve">. Bitim Tomonlarning vakolatli shaxslari tomonidan  imzolanib, muhrlangan kundan boshlab kuchga kiradi hamda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Shartnomaning amal qilish muddati</w:t>
        <w:fldChar w:fldCharType="end"/>
      </w:r>
      <w:r>
        <w:rPr>
          <w:sz w:val="24"/>
          <w:rFonts w:ascii="Times New Roman" w:hAnsi="Times New Roman"/>
        </w:rPr>
        <w:t xml:space="preserve"> muddatga amal qiladi. </w:t>
      </w:r>
    </w:p>
    <w:p>
      <w:pPr>
        <w:ind w:left="-13" w:right="42"/>
      </w:pPr>
      <w:r>
        <w:rPr>
          <w:b/>
          <w:sz w:val="24"/>
          <w:rFonts w:ascii="Times New Roman" w:hAnsi="Times New Roman"/>
        </w:rPr>
        <w:t>5.2.</w:t>
      </w:r>
      <w:r>
        <w:rPr>
          <w:sz w:val="24"/>
          <w:rFonts w:ascii="Times New Roman" w:hAnsi="Times New Roman"/>
        </w:rPr>
        <w:t xml:space="preserve"> Agar Tomonlarning hech biri Bitim muddatining tugashigacha 10 (oʻn) ish kuni ichida Bitimni bekor qilish istagini bildirmasa, Bitim mavjud shartlar asosida keyingi muddatga uzaytirilgan hisoblanadi.  </w:t>
      </w:r>
    </w:p>
    <w:p>
      <w:pPr>
        <w:jc w:val="left"/>
        <w:ind w:left="713" w:right="0" w:firstLine="0"/>
        <w:spacing w:after="92" w:line="259" w:lineRule="auto"/>
      </w:pPr>
      <w:r>
        <w:rPr>
          <w:sz w:val="24"/>
          <w:rFonts w:ascii="Times New Roman" w:hAnsi="Times New Roman"/>
        </w:rPr>
        <w:t xml:space="preserve"> </w:t>
      </w:r>
    </w:p>
    <w:p>
      <w:pPr>
        <w:pStyle w:val="1"/>
        <w:ind w:left="958" w:right="289"/>
      </w:pPr>
      <w:r>
        <w:rPr>
          <w:sz w:val="24"/>
          <w:rFonts w:ascii="Times New Roman" w:hAnsi="Times New Roman"/>
        </w:rPr>
        <w:t>VI.</w:t>
      </w:r>
      <w:r>
        <w:rPr>
          <w:b w:val="false"/>
          <w:sz w:val="24"/>
          <w:rFonts w:ascii="Times New Roman" w:hAnsi="Times New Roman"/>
        </w:rPr>
        <w:t xml:space="preserve"> </w:t>
      </w:r>
      <w:r>
        <w:rPr>
          <w:sz w:val="24"/>
          <w:rFonts w:ascii="Times New Roman" w:hAnsi="Times New Roman"/>
        </w:rPr>
        <w:t xml:space="preserve">FORS–MAJOR HOLATLARI</w:t>
      </w:r>
      <w:r>
        <w:rPr>
          <w:b w:val="false"/>
          <w:sz w:val="24"/>
          <w:rFonts w:ascii="Times New Roman" w:hAnsi="Times New Roman"/>
        </w:rPr>
        <w:t xml:space="preserve"> </w:t>
      </w:r>
    </w:p>
    <w:p>
      <w:pPr>
        <w:ind w:left="-13" w:right="42"/>
      </w:pPr>
      <w:r>
        <w:rPr>
          <w:b/>
          <w:sz w:val="24"/>
          <w:rFonts w:ascii="Times New Roman" w:hAnsi="Times New Roman"/>
        </w:rPr>
        <w:t>6.1.</w:t>
      </w:r>
      <w:r>
        <w:rPr>
          <w:sz w:val="24"/>
          <w:rFonts w:ascii="Times New Roman" w:hAnsi="Times New Roman"/>
        </w:rPr>
        <w:t xml:space="preserve"> Agar ushbu Bitim boʻyicha majburiyatlar qisman yoki toʻliq bajarilmasligi tabiat hodisalari va boshqa yengib boʻlmaydigan kuch holatlari natijasida kelib chiqsa hamda bu holatlar mazkur Bitimning bajarilishiga bevosita taʼsir etsa, Tomonlar bunda qisman yoki toʻliq bajarmaslik uchun javobgarlikdan ozod etiladilar.  </w:t>
      </w:r>
    </w:p>
    <w:p>
      <w:pPr>
        <w:ind w:left="-13" w:right="42"/>
      </w:pPr>
      <w:r>
        <w:rPr>
          <w:sz w:val="24"/>
          <w:rFonts w:ascii="Times New Roman" w:hAnsi="Times New Roman"/>
        </w:rPr>
        <w:t xml:space="preserve">Mazkur Bitim boʻyicha majburiyatlarni bajarish muddati yengib boʻlmaydigan kuch holatlari amal qilgan, shuningdek ushbu holatlar yuzaga keltirgan vaqtga mutanosib ravishda uzaytiriladi. </w:t>
      </w:r>
    </w:p>
    <w:p>
      <w:pPr>
        <w:ind w:left="-13" w:right="42"/>
      </w:pPr>
      <w:r>
        <w:rPr>
          <w:b/>
          <w:sz w:val="24"/>
          <w:rFonts w:ascii="Times New Roman" w:hAnsi="Times New Roman"/>
        </w:rPr>
        <w:t>6.2.</w:t>
      </w:r>
      <w:r>
        <w:rPr>
          <w:sz w:val="24"/>
          <w:rFonts w:ascii="Times New Roman" w:hAnsi="Times New Roman"/>
        </w:rPr>
        <w:t xml:space="preserve"> Fors-major holatlar sababli oʻz majburiyatlarini bajarish imkoni boʻlmagan Tomon, fors-major holat yuzaga kelgan kundan boshlab 10 kun ichida holatning yuzaga kelganligi, yuqoridagi holatlarning davomiyligi hamda tugashining taxminiy muddati toʻgʻrisida ikkinchi Tomonni yozma ravishda xabardor qilishi lozim. Xabarda keltirilgan dalillar tegishli davlat organlari hujjatlari bilan tasdiqlanishi lozim. </w:t>
      </w:r>
    </w:p>
    <w:p>
      <w:pPr>
        <w:ind w:left="-13" w:right="42"/>
      </w:pPr>
      <w:r>
        <w:rPr>
          <w:b/>
          <w:sz w:val="24"/>
          <w:rFonts w:ascii="Times New Roman" w:hAnsi="Times New Roman"/>
        </w:rPr>
        <w:t>6.3</w:t>
      </w:r>
      <w:r>
        <w:rPr>
          <w:sz w:val="24"/>
          <w:rFonts w:ascii="Times New Roman" w:hAnsi="Times New Roman"/>
        </w:rPr>
        <w:t xml:space="preserve">. Agar majburiyatlarni toʻliq yoki qisman bajarish imkoniyatiga toʻsqinlik qiluvchi holat 3 (uch) oydan oshiq muddat davom etsa, Tomonlar yetkazilishi mumkin boʻlgan zarar (shu jumladan harajatlar)larni qoplamaslik huquqi bilan Bitimni toʻliq yoki qisman bekor qilishga haqlidir. </w:t>
      </w:r>
    </w:p>
    <w:p>
      <w:pPr>
        <w:jc w:val="left"/>
        <w:ind w:left="711" w:right="0" w:firstLine="0"/>
        <w:spacing w:after="95" w:line="259" w:lineRule="auto"/>
      </w:pPr>
      <w:r>
        <w:rPr>
          <w:sz w:val="24"/>
          <w:rFonts w:ascii="Times New Roman" w:hAnsi="Times New Roman"/>
        </w:rPr>
        <w:t xml:space="preserve"> </w:t>
      </w:r>
    </w:p>
    <w:p>
      <w:pPr>
        <w:pStyle w:val="1"/>
        <w:ind w:left="958" w:right="0"/>
      </w:pPr>
      <w:r>
        <w:rPr>
          <w:sz w:val="24"/>
          <w:rFonts w:ascii="Times New Roman" w:hAnsi="Times New Roman"/>
        </w:rPr>
        <w:t xml:space="preserve">VII. NIZOLARNI HAL ETISH </w:t>
      </w:r>
    </w:p>
    <w:p>
      <w:pPr>
        <w:ind w:left="-13" w:right="42"/>
      </w:pPr>
      <w:r>
        <w:rPr>
          <w:b/>
          <w:sz w:val="24"/>
          <w:rFonts w:ascii="Times New Roman" w:hAnsi="Times New Roman"/>
        </w:rPr>
        <w:t>7.1.</w:t>
      </w:r>
      <w:r>
        <w:rPr>
          <w:sz w:val="24"/>
          <w:rFonts w:ascii="Times New Roman" w:hAnsi="Times New Roman"/>
        </w:rPr>
        <w:t xml:space="preserve"> Bitim boʻyicha Tomonlar oʻrtasida kelib chiqadigan nizo va kelishmovchiliklar, imkon qadar Tomonlar oʻrtasida olib boriladigan muzokaralar yoʻli bilan hal qilinadi. Kelishuvga erishilmagan taqdirda nizolar aybdor joylashgan joydagi xoʻjalik sudi yoki hakamlik sudi orqali hal etiladi. </w:t>
      </w:r>
    </w:p>
    <w:p>
      <w:pPr>
        <w:jc w:val="left"/>
        <w:ind w:left="712" w:right="0" w:firstLine="0"/>
        <w:spacing w:after="90" w:line="259" w:lineRule="auto"/>
      </w:pPr>
      <w:r>
        <w:rPr>
          <w:b/>
          <w:sz w:val="24"/>
          <w:rFonts w:ascii="Times New Roman" w:hAnsi="Times New Roman"/>
        </w:rPr>
        <w:t xml:space="preserve">                              </w:t>
      </w:r>
    </w:p>
    <w:p>
      <w:pPr>
        <w:pStyle w:val="1"/>
        <w:ind w:left="958" w:right="291"/>
      </w:pPr>
      <w:r>
        <w:rPr>
          <w:sz w:val="24"/>
          <w:rFonts w:ascii="Times New Roman" w:hAnsi="Times New Roman"/>
        </w:rPr>
        <w:t xml:space="preserve">VIII. BITIMNI BEKOR QILISH TARTIBI </w:t>
      </w:r>
    </w:p>
    <w:p>
      <w:pPr>
        <w:ind w:left="851" w:right="42" w:firstLine="0"/>
        <w:spacing w:after="72" w:line="259" w:lineRule="auto"/>
      </w:pPr>
      <w:r>
        <w:rPr>
          <w:b/>
          <w:sz w:val="24"/>
          <w:rFonts w:ascii="Times New Roman" w:hAnsi="Times New Roman"/>
        </w:rPr>
        <w:t xml:space="preserve">8.1. </w:t>
      </w:r>
      <w:r>
        <w:rPr>
          <w:sz w:val="24"/>
          <w:rFonts w:ascii="Times New Roman" w:hAnsi="Times New Roman"/>
        </w:rPr>
        <w:t xml:space="preserve">Mazkur Bitim quyidagi hollarda bekor qilinadi: </w:t>
      </w:r>
    </w:p>
    <w:p>
      <w:pPr>
        <w:ind w:left="851" w:right="42" w:firstLine="0"/>
        <w:spacing w:after="72" w:line="259" w:lineRule="auto"/>
      </w:pPr>
      <w:r>
        <w:rPr>
          <w:sz w:val="24"/>
          <w:rFonts w:ascii="Times New Roman" w:hAnsi="Times New Roman"/>
        </w:rPr>
        <w:t xml:space="preserve">Agent tomonidan Oʻzbekiston Respublikasining sugʻurta faoliyatiga oid qonunchilik talablari buzilganligi  aniqlanganda; </w:t>
      </w:r>
    </w:p>
    <w:p>
      <w:pPr>
        <w:ind w:left="837" w:right="6200" w:hanging="850"/>
      </w:pPr>
      <w:r>
        <w:rPr>
          <w:sz w:val="24"/>
          <w:rFonts w:ascii="Times New Roman" w:hAnsi="Times New Roman"/>
        </w:rPr>
        <w:tab/>
      </w:r>
      <w:r>
        <w:rPr>
          <w:sz w:val="24"/>
          <w:rFonts w:ascii="Times New Roman" w:hAnsi="Times New Roman"/>
        </w:rPr>
        <w:t xml:space="preserve">Tomonlarning ixtiyoriga koʻra. </w:t>
      </w:r>
    </w:p>
    <w:p>
      <w:pPr>
        <w:ind w:left="1268" w:right="42" w:firstLine="0"/>
        <w:spacing w:after="40" w:line="284" w:lineRule="auto"/>
      </w:pPr>
      <w:r>
        <w:rPr>
          <w:sz w:val="24"/>
          <w:rFonts w:ascii="Times New Roman" w:hAnsi="Times New Roman"/>
        </w:rPr>
        <w:t xml:space="preserve">Agar Bitim shartlari bir Tomondan bajarilmasa (talab darajasida bajarilmasa), Tomonlarning yetkazilgan zararning toʻliq qoplanishi sharti bilan Bitim bir tomonlama bekor qilinishi mumkin.  Oʻzbekiston Respublikasi Qonunchiligida belgilangan holatlarda. </w:t>
      </w:r>
    </w:p>
    <w:p>
      <w:pPr>
        <w:jc w:val="left"/>
        <w:ind w:left="851" w:right="0" w:firstLine="0"/>
        <w:spacing w:after="56" w:line="259" w:lineRule="auto"/>
      </w:pPr>
      <w:r>
        <w:rPr>
          <w:sz w:val="24"/>
          <w:rFonts w:ascii="Times New Roman" w:hAnsi="Times New Roman"/>
        </w:rPr>
        <w:t xml:space="preserve"> </w:t>
      </w:r>
    </w:p>
    <w:p>
      <w:pPr>
        <w:pStyle w:val="1"/>
        <w:ind w:left="958" w:right="290"/>
      </w:pPr>
      <w:r>
        <w:rPr>
          <w:sz w:val="24"/>
          <w:rFonts w:ascii="Times New Roman" w:hAnsi="Times New Roman"/>
        </w:rPr>
        <w:t xml:space="preserve">IX. YAKUNLOVCHI QOIDALAR </w:t>
      </w:r>
    </w:p>
    <w:p>
      <w:pPr>
        <w:ind w:left="-13" w:right="42"/>
      </w:pPr>
      <w:r>
        <w:rPr>
          <w:b/>
          <w:sz w:val="24"/>
          <w:rFonts w:ascii="Times New Roman" w:hAnsi="Times New Roman"/>
        </w:rPr>
        <w:t>9.1.</w:t>
      </w:r>
      <w:r>
        <w:rPr>
          <w:sz w:val="24"/>
          <w:rFonts w:ascii="Times New Roman" w:hAnsi="Times New Roman"/>
        </w:rPr>
        <w:t xml:space="preserve"> Tomonlar oʻrtasida Bitim imzolangandan soʻng Bitimga tegishli boʻlgan, oldindan amalga oshirilgan barcha muzokara, yozishma, kelishuv va bayonnomalar oʻzining yuridik kuchini yoʻqotadi. </w:t>
      </w:r>
    </w:p>
    <w:p>
      <w:pPr>
        <w:ind w:left="-13" w:right="42"/>
      </w:pPr>
      <w:r>
        <w:rPr>
          <w:b/>
          <w:sz w:val="24"/>
          <w:rFonts w:ascii="Times New Roman" w:hAnsi="Times New Roman"/>
        </w:rPr>
        <w:t>9.2</w:t>
      </w:r>
      <w:r>
        <w:rPr>
          <w:sz w:val="24"/>
          <w:rFonts w:ascii="Times New Roman" w:hAnsi="Times New Roman"/>
        </w:rPr>
        <w:t xml:space="preserve">. Bitimga kiritiladigan har qanday oʻzgartirish va qoʻshimchalar, ularni yozma ravishda amalga oshirilishi va Tomonlarning vakolatli shaxslari tomonidan imzolanganidan soʻng kuchga ega boʻladi.  </w:t>
      </w:r>
    </w:p>
    <w:p>
      <w:pPr>
        <w:ind w:left="-13" w:right="42"/>
      </w:pPr>
      <w:r>
        <w:rPr>
          <w:b/>
          <w:sz w:val="24"/>
          <w:rFonts w:ascii="Times New Roman" w:hAnsi="Times New Roman"/>
        </w:rPr>
        <w:t>9.3</w:t>
      </w:r>
      <w:r>
        <w:rPr>
          <w:sz w:val="24"/>
          <w:rFonts w:ascii="Times New Roman" w:hAnsi="Times New Roman"/>
        </w:rPr>
        <w:t xml:space="preserve">. Tomonlarning hech biri Bitim boʻyicha huquq va majburiyatlarini boshqa Tomonning yozma roziligisiz uchinchi tomonga berish huquqiga ega emas. </w:t>
      </w:r>
    </w:p>
    <w:p>
      <w:pPr>
        <w:ind w:left="-13" w:right="42" w:firstLine="566"/>
      </w:pPr>
      <w:r>
        <w:rPr>
          <w:b/>
          <w:sz w:val="24"/>
          <w:rFonts w:ascii="Times New Roman" w:hAnsi="Times New Roman"/>
        </w:rPr>
        <w:t xml:space="preserve">  9.4</w:t>
      </w:r>
      <w:r>
        <w:rPr>
          <w:sz w:val="24"/>
          <w:rFonts w:ascii="Times New Roman" w:hAnsi="Times New Roman"/>
        </w:rPr>
        <w:t xml:space="preserve">. Bitimda koʻzda tutilmagan hollarda Tomonlar Oʻzbekiston Respublikasining amaldagi qonunchiligi asosida faoliyat yuritadilar. </w:t>
      </w:r>
    </w:p>
    <w:p>
      <w:pPr>
        <w:ind w:left="-13" w:right="42" w:firstLine="566"/>
      </w:pPr>
      <w:r>
        <w:rPr>
          <w:b/>
          <w:sz w:val="24"/>
          <w:rFonts w:ascii="Times New Roman" w:hAnsi="Times New Roman"/>
        </w:rPr>
        <w:t xml:space="preserve">  9.5.</w:t>
      </w:r>
      <w:r>
        <w:rPr>
          <w:sz w:val="24"/>
          <w:rFonts w:ascii="Times New Roman" w:hAnsi="Times New Roman"/>
        </w:rPr>
        <w:t xml:space="preserve"> Tomonlarning firma nomi, manzillari, telefon/faks raqamlari va bank hisob raqamlari oʻzgargan taqdirda 5 (besh) ish kuni ichida bir-birlarini xabardor qilishlari shart. </w:t>
      </w:r>
    </w:p>
    <w:p>
      <w:pPr>
        <w:ind w:left="568" w:right="42" w:firstLine="0"/>
        <w:spacing w:after="302" w:line="259" w:lineRule="auto"/>
      </w:pPr>
      <w:r>
        <w:rPr>
          <w:sz w:val="24"/>
          <w:rFonts w:ascii="Times New Roman" w:hAnsi="Times New Roman"/>
        </w:rPr>
        <w:t xml:space="preserve">  </w:t>
      </w:r>
      <w:r>
        <w:rPr>
          <w:b/>
          <w:sz w:val="24"/>
          <w:rFonts w:ascii="Times New Roman" w:hAnsi="Times New Roman"/>
        </w:rPr>
        <w:t>9.6.</w:t>
      </w:r>
      <w:r>
        <w:rPr>
          <w:sz w:val="24"/>
          <w:rFonts w:ascii="Times New Roman" w:hAnsi="Times New Roman"/>
        </w:rPr>
        <w:t xml:space="preserve"> Bitim har bir TOMON uchun bir xil nusxada boʻlib, teng yuridik kuchga ega.  </w:t>
      </w:r>
    </w:p>
    <w:p>
      <w:pPr>
        <w:jc w:val="left"/>
        <w:ind w:left="295" w:right="0" w:hanging="10"/>
        <w:spacing w:after="7" w:line="259" w:lineRule="auto"/>
      </w:pPr>
      <w:r>
        <w:rPr>
          <w:b/>
          <w:sz w:val="24"/>
          <w:rFonts w:ascii="Times New Roman" w:hAnsi="Times New Roman"/>
        </w:rPr>
        <w:t xml:space="preserve">X. TOMONLARNING YURIDIK MANZILLARI, BANK REKVIZITLARI VA IMZOLARI </w:t>
      </w:r>
    </w:p>
    <w:p>
      <w:pPr>
        <w:jc w:val="left"/>
        <w:ind w:left="285" w:right="0" w:firstLine="0"/>
        <w:spacing w:after="0" w:line="259" w:lineRule="auto"/>
      </w:pPr>
      <w:r>
        <w:rPr>
          <w:sz w:val="24"/>
          <w:rFonts w:ascii="Times New Roman" w:hAnsi="Times New Roman"/>
        </w:rPr>
        <w:t xml:space="preserve"> </w:t>
      </w:r>
    </w:p>
    <w:tbl>
      <w:tblPr>
        <w:tblW w:w="0" w:type="auto"/>
        <w:tblInd w:w="480" w:type="dxa"/>
        <w:tblCellMar>
          <w:left w:w="15" w:type="dxa"/>
          <w:top w:w="15" w:type="dxa"/>
          <w:right w:w="15" w:type="dxa"/>
          <w:bottom w:w="15" w:type="dxa"/>
        </w:tblCellMar>
      </w:tblPr>
      <w:tblGrid>
        <w:gridCol w:w="4794"/>
        <w:gridCol w:w="4854"/>
      </w:tblGrid>
      <w:tr>
        <w:tc>
          <w:tcPr>
            <w:tcW w:w="4438" w:type="dxa"/>
            <w:tcBorders>
              <w:left w:color="auto" w:val="nil"/>
              <w:top w:color="auto" w:val="nil"/>
              <w:right w:color="auto" w:val="nil"/>
              <w:bottom w:color="auto" w:val="nil"/>
            </w:tcBorders>
            <w:tcMar>
              <w:left w:w="100" w:type="dxa"/>
              <w:top w:w="20" w:type="dxa"/>
              <w:right w:w="100" w:type="dxa"/>
              <w:bottom w:w="20" w:type="dxa"/>
            </w:tcMar>
            <w:hideMark/>
          </w:tcPr>
          <w:p>
            <w:pPr>
              <w:rPr>
                <w:b/>
                <w:sz w:val="24"/>
              </w:rPr>
            </w:pPr>
            <w:r>
              <w:rPr>
                <w:b/>
                <w:sz w:val="24"/>
                <w:rFonts w:ascii="Times New Roman" w:hAnsi="Times New Roman"/>
              </w:rPr>
              <w:t xml:space="preserve">SUGʻURTA KOMPANIYASI:</w:t>
            </w:r>
          </w:p>
          <w:p>
            <w:pPr>
              <w:rPr>
                <w:b/>
                <w:sz w:val="24"/>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{"Y":18}</w:instrText>
              <w:fldChar w:fldCharType="separate"/>
            </w:r>
            <w:r>
              <w:rPr>
                <w:b/>
                <w:vanish w:val="false"/>
                <w:sz w:val="24"/>
                <w:rFonts w:ascii="Times New Roman" w:hAnsi="Times New Roman"/>
              </w:rPr>
              <w:t xml:space="preserve">Sugʻurta kompaniyasining yuridik manzili</w:t>
              <w:fldChar w:fldCharType="end"/>
            </w:r>
          </w:p>
          <w:p>
            <w:pPr>
              <w:rPr>
                <w:b/>
                <w:sz w:val="24"/>
              </w:rPr>
            </w:pPr>
            <w:r>
              <w:rPr>
                <w:b/>
                <w:sz w:val="24"/>
                <w:rFonts w:ascii="Times New Roman" w:hAnsi="Times New Roman"/>
              </w:rPr>
              <w:t xml:space="preserve">H/R: </w:t>
            </w:r>
            <w:r>
              <w:rPr>
                <w:b/>
                <w:vanish w:val="false"/>
                <w:sz w:val="24"/>
                <w:rFonts w:ascii="Times New Roman" w:hAnsi="Times New Roman"/>
              </w:rPr>
              <w:fldChar w:fldCharType="begin"/>
              <w:instrText xml:space="preserve">X {"Y":19}</w:instrText>
              <w:fldChar w:fldCharType="separate"/>
            </w:r>
            <w:r>
              <w:rPr>
                <w:b/>
                <w:vanish w:val="false"/>
                <w:sz w:val="24"/>
                <w:rFonts w:ascii="Times New Roman" w:hAnsi="Times New Roman"/>
              </w:rPr>
              <w:t xml:space="preserve">Sugʻurta kompaniyasining hisob raqami</w:t>
              <w:fldChar w:fldCharType="end"/>
            </w:r>
          </w:p>
          <w:p>
            <w:pPr>
              <w:rPr>
                <w:b/>
                <w:sz w:val="24"/>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Sugʻurta kompaniyasining bank kodi</w:t>
              <w:fldChar w:fldCharType="end"/>
            </w:r>
          </w:p>
          <w:p>
            <w:pPr>
              <w:rPr>
                <w:b/>
                <w:sz w:val="24"/>
              </w:rPr>
            </w:pPr>
            <w:r>
              <w:rPr>
                <w:b/>
                <w:sz w:val="24"/>
                <w:rFonts w:ascii="Times New Roman" w:hAnsi="Times New Roman"/>
              </w:rPr>
              <w:t xml:space="preserve">STIR: </w:t>
            </w:r>
            <w:r>
              <w:rPr>
                <w:b/>
                <w:vanish w:val="false"/>
                <w:sz w:val="24"/>
                <w:rFonts w:ascii="Times New Roman" w:hAnsi="Times New Roman"/>
              </w:rPr>
              <w:fldChar w:fldCharType="begin"/>
              <w:instrText xml:space="preserve">X {"Y":21}</w:instrText>
              <w:fldChar w:fldCharType="separate"/>
            </w:r>
            <w:r>
              <w:rPr>
                <w:b/>
                <w:vanish w:val="false"/>
                <w:sz w:val="24"/>
                <w:rFonts w:ascii="Times New Roman" w:hAnsi="Times New Roman"/>
              </w:rPr>
              <w:t xml:space="preserve">Sugʻurta kompaniyasining STIR raqami</w:t>
              <w:fldChar w:fldCharType="end"/>
            </w:r>
          </w:p>
          <w:p>
            <w:pPr>
              <w:rPr>
                <w:b/>
                <w:sz w:val="24"/>
              </w:rPr>
            </w:pP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Sugʻurta kompaniyasi bilan bog‘lanish uchun telefon raqami</w:t>
              <w:fldChar w:fldCharType="end"/>
            </w:r>
          </w:p>
          <w:p>
            <w:pPr>
              <w:rPr>
                <w:b/>
                <w:sz w:val="24"/>
              </w:rPr>
            </w:pPr>
            <w:r>
              <w:rPr>
                <w:b/>
                <w:sz w:val="24"/>
                <w:rFonts w:ascii="Times New Roman" w:hAnsi="Times New Roman"/>
              </w:rPr>
              <w:t xml:space="preserve">Rahbar imzosi</w:t>
            </w:r>
          </w:p>
          <w:p>
            <w:pPr>
              <w:rPr>
                <w:b/>
                <w:sz w:val="24"/>
              </w:rPr>
            </w:pPr>
            <w:r>
              <w:rPr>
                <w:sz w:val="24"/>
                <w:rFonts w:ascii="Times New Roman" w:hAnsi="Times New Roman"/>
              </w:rPr>
            </w:r>
          </w:p>
          <w:p>
            <w:pPr>
              <w:rPr>
                <w:b/>
                <w:sz w:val="24"/>
              </w:rPr>
            </w:pPr>
            <w:r>
              <w:rPr>
                <w:b/>
                <w:sz w:val="24"/>
                <w:rFonts w:ascii="Times New Roman" w:hAnsi="Times New Roman"/>
              </w:rPr>
              <w:t xml:space="preserve">Muhr o‘rni</w:t>
            </w:r>
          </w:p>
        </w:tc>
        <w:tc>
          <w:tcPr>
            <w:tcW w:w="4437" w:type="dxa"/>
            <w:tcBorders>
              <w:left w:color="auto" w:val="nil"/>
              <w:top w:color="auto" w:val="nil"/>
              <w:right w:color="auto" w:val="nil"/>
              <w:bottom w:color="auto" w:val="nil"/>
            </w:tcBorders>
            <w:tcMar>
              <w:left w:w="100" w:type="dxa"/>
              <w:top w:w="20" w:type="dxa"/>
              <w:right w:w="100" w:type="dxa"/>
              <w:bottom w:w="20" w:type="dxa"/>
            </w:tcMar>
            <w:hideMark/>
          </w:tcPr>
          <w:p>
            <w:pPr>
              <w:rPr>
                <w:b/>
                <w:sz w:val="24"/>
              </w:rPr>
            </w:pPr>
            <w:r>
              <w:rPr>
                <w:b/>
                <w:sz w:val="24"/>
                <w:rFonts w:ascii="Times New Roman" w:hAnsi="Times New Roman"/>
              </w:rPr>
              <w:t>AGENT:</w:t>
            </w:r>
          </w:p>
          <w:p>
            <w:pPr>
              <w:rPr>
                <w:b/>
                <w:sz w:val="24"/>
              </w:rPr>
            </w:pPr>
            <w:r>
              <w:rPr>
                <w:b/>
                <w:sz w:val="24"/>
                <w:rFonts w:ascii="Times New Roman" w:hAnsi="Times New Roman"/>
              </w:rPr>
              <w:t>Manzili:</w:t>
            </w:r>
            <w:r>
              <w:rPr>
                <w:sz w:val="24"/>
                <w:rFonts w:ascii="Times New Roman" w:hAnsi="Times New Roman"/>
              </w:rPr>
              <w:t xml:space="preserve"> </w:t>
            </w:r>
            <w:r>
              <w:rPr>
                <w:b/>
                <w:vanish w:val="false"/>
                <w:sz w:val="24"/>
                <w:rFonts w:ascii="Times New Roman" w:hAnsi="Times New Roman"/>
              </w:rPr>
              <w:fldChar w:fldCharType="begin"/>
              <w:instrText xml:space="preserve">X {"Y":23}</w:instrText>
              <w:fldChar w:fldCharType="separate"/>
            </w:r>
            <w:r>
              <w:rPr>
                <w:b/>
                <w:vanish w:val="false"/>
                <w:sz w:val="24"/>
                <w:rFonts w:ascii="Times New Roman" w:hAnsi="Times New Roman"/>
              </w:rPr>
              <w:t xml:space="preserve">Agentning manzili</w:t>
              <w:fldChar w:fldCharType="end"/>
            </w:r>
          </w:p>
          <w:p>
            <w:pPr>
              <w:rPr>
                <w:b/>
                <w:sz w:val="24"/>
              </w:rPr>
            </w:pPr>
            <w:r>
              <w:rPr>
                <w:b/>
                <w:sz w:val="24"/>
                <w:rFonts w:ascii="Times New Roman" w:hAnsi="Times New Roman"/>
              </w:rPr>
              <w:t xml:space="preserve">INN: </w:t>
            </w:r>
            <w:r>
              <w:rPr>
                <w:b/>
                <w:vanish w:val="false"/>
                <w:sz w:val="24"/>
                <w:rFonts w:ascii="Times New Roman" w:hAnsi="Times New Roman"/>
              </w:rPr>
              <w:fldChar w:fldCharType="begin"/>
              <w:instrText xml:space="preserve">X {"Y":24}</w:instrText>
              <w:fldChar w:fldCharType="separate"/>
            </w:r>
            <w:r>
              <w:rPr>
                <w:b/>
                <w:vanish w:val="false"/>
                <w:sz w:val="24"/>
                <w:rFonts w:ascii="Times New Roman" w:hAnsi="Times New Roman"/>
              </w:rPr>
              <w:t xml:space="preserve">Agentning INN raqami</w:t>
              <w:fldChar w:fldCharType="end"/>
            </w:r>
          </w:p>
          <w:p>
            <w:pPr>
              <w:rPr>
                <w:b/>
                <w:sz w:val="24"/>
              </w:rPr>
            </w:pPr>
            <w:r>
              <w:rPr>
                <w:b/>
                <w:vanish w:val="false"/>
                <w:sz w:val="24"/>
                <w:rFonts w:ascii="Times New Roman" w:hAnsi="Times New Roman"/>
              </w:rPr>
              <w:fldChar w:fldCharType="begin"/>
              <w:instrText xml:space="preserve">X {"Y":25}</w:instrText>
              <w:fldChar w:fldCharType="separate"/>
            </w:r>
            <w:r>
              <w:rPr>
                <w:b/>
                <w:vanish w:val="false"/>
                <w:sz w:val="24"/>
                <w:rFonts w:ascii="Times New Roman" w:hAnsi="Times New Roman"/>
              </w:rPr>
              <w:t xml:space="preserve">Agentning telefon raqami</w:t>
              <w:fldChar w:fldCharType="end"/>
            </w:r>
          </w:p>
          <w:p>
            <w:pPr>
              <w:rPr>
                <w:b/>
                <w:sz w:val="24"/>
              </w:rPr>
            </w:pPr>
            <w:r>
              <w:rPr>
                <w:sz w:val="24"/>
                <w:rFonts w:ascii="Times New Roman" w:hAnsi="Times New Roman"/>
              </w:rPr>
            </w:r>
          </w:p>
          <w:p>
            <w:pPr>
              <w:rPr>
                <w:b/>
                <w:sz w:val="24"/>
              </w:rPr>
            </w:pPr>
            <w:r>
              <w:rPr>
                <w:sz w:val="24"/>
                <w:rFonts w:ascii="Times New Roman" w:hAnsi="Times New Roman"/>
              </w:rPr>
            </w:r>
          </w:p>
          <w:p>
            <w:pPr>
              <w:rPr>
                <w:b/>
                <w:sz w:val="24"/>
              </w:rPr>
            </w:pPr>
            <w:r>
              <w:rPr>
                <w:b/>
                <w:sz w:val="24"/>
                <w:rFonts w:ascii="Times New Roman" w:hAnsi="Times New Roman"/>
              </w:rPr>
              <w:t xml:space="preserve">Agent imzosi</w:t>
            </w:r>
          </w:p>
          <w:p>
            <w:pPr>
              <w:rPr>
                <w:b/>
                <w:sz w:val="24"/>
              </w:rPr>
            </w:pPr>
            <w:r>
              <w:rPr>
                <w:sz w:val="24"/>
                <w:rFonts w:ascii="Times New Roman" w:hAnsi="Times New Roman"/>
              </w:rPr>
            </w:r>
          </w:p>
          <w:p>
            <w:pPr>
              <w:rPr>
                <w:b/>
                <w:sz w:val="24"/>
              </w:rPr>
            </w:pPr>
            <w:r>
              <w:rPr>
                <w:b/>
                <w:sz w:val="24"/>
                <w:rFonts w:ascii="Times New Roman" w:hAnsi="Times New Roman"/>
              </w:rPr>
              <w:t xml:space="preserve">Muhr o‘rni</w:t>
            </w:r>
          </w:p>
        </w:tc>
      </w:tr>
    </w:tbl>
    <w:p>
      <w:pPr>
        <w:jc w:val="right"/>
        <w:ind w:right="0" w:firstLine="0"/>
        <w:spacing w:after="16" w:line="259" w:lineRule="auto"/>
      </w:pPr>
      <w:r>
        <w:rPr>
          <w:sz w:val="24"/>
          <w:rFonts w:ascii="Times New Roman" w:hAnsi="Times New Roman"/>
        </w:rPr>
        <w:t xml:space="preserve"> </w:t>
      </w:r>
    </w:p>
    <w:sectPr>
      <w:pgSz w:w="11904" w:h="16838"/>
      <w:pgMar w:left="849" w:right="795" w:top="605" w:bottom="581"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5122F"/>
    <w:multiLevelType w:val="hybridMultilevel"/>
    <w:tmpl w:val="7D70AD86"/>
    <w:lvl w:ilvl="0" w:tplc="94FACD88">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639E2110">
      <w:start w:val="1"/>
      <w:numFmt w:val="bullet"/>
      <w:lvlText w:val="o"/>
      <w:lvlJc w:val="left"/>
      <w:pPr>
        <w:ind w:left="19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372D3EC">
      <w:start w:val="1"/>
      <w:numFmt w:val="bullet"/>
      <w:lvlText w:val="▪"/>
      <w:lvlJc w:val="left"/>
      <w:pPr>
        <w:ind w:left="26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24628E8">
      <w:start w:val="1"/>
      <w:numFmt w:val="bullet"/>
      <w:lvlText w:val="•"/>
      <w:lvlJc w:val="left"/>
      <w:pPr>
        <w:ind w:left="33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10211C0">
      <w:start w:val="1"/>
      <w:numFmt w:val="bullet"/>
      <w:lvlText w:val="o"/>
      <w:lvlJc w:val="left"/>
      <w:pPr>
        <w:ind w:left="40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D1C6176">
      <w:start w:val="1"/>
      <w:numFmt w:val="bullet"/>
      <w:lvlText w:val="▪"/>
      <w:lvlJc w:val="left"/>
      <w:pPr>
        <w:ind w:left="48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5FAD02A">
      <w:start w:val="1"/>
      <w:numFmt w:val="bullet"/>
      <w:lvlText w:val="•"/>
      <w:lvlJc w:val="left"/>
      <w:pPr>
        <w:ind w:left="55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B421F88">
      <w:start w:val="1"/>
      <w:numFmt w:val="bullet"/>
      <w:lvlText w:val="o"/>
      <w:lvlJc w:val="left"/>
      <w:pPr>
        <w:ind w:left="62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E8869C6">
      <w:start w:val="1"/>
      <w:numFmt w:val="bullet"/>
      <w:lvlText w:val="▪"/>
      <w:lvlJc w:val="left"/>
      <w:pPr>
        <w:ind w:left="69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9705C6C"/>
    <w:multiLevelType w:val="multilevel"/>
    <w:tmpl w:val="A5B479A6"/>
    <w:lvl w:ilvl="0">
      <w:start w:val="3"/>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8F37C91"/>
    <w:multiLevelType w:val="hybridMultilevel"/>
    <w:tmpl w:val="2886E08E"/>
    <w:lvl w:ilvl="0" w:tplc="6BC0136A">
      <w:start w:val="1"/>
      <w:numFmt w:val="bullet"/>
      <w:lvlText w:val=""/>
      <w:lvlJc w:val="left"/>
      <w:pPr>
        <w:ind w:left="41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6945BA2">
      <w:start w:val="1"/>
      <w:numFmt w:val="bullet"/>
      <w:lvlText w:val="o"/>
      <w:lvlJc w:val="left"/>
      <w:pPr>
        <w:ind w:left="19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1844172">
      <w:start w:val="1"/>
      <w:numFmt w:val="bullet"/>
      <w:lvlText w:val="▪"/>
      <w:lvlJc w:val="left"/>
      <w:pPr>
        <w:ind w:left="26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ACA0E1A">
      <w:start w:val="1"/>
      <w:numFmt w:val="bullet"/>
      <w:lvlText w:val="•"/>
      <w:lvlJc w:val="left"/>
      <w:pPr>
        <w:ind w:left="33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3F70FEE8">
      <w:start w:val="1"/>
      <w:numFmt w:val="bullet"/>
      <w:lvlText w:val="o"/>
      <w:lvlJc w:val="left"/>
      <w:pPr>
        <w:ind w:left="40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13A1CAA">
      <w:start w:val="1"/>
      <w:numFmt w:val="bullet"/>
      <w:lvlText w:val="▪"/>
      <w:lvlJc w:val="left"/>
      <w:pPr>
        <w:ind w:left="48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4766776">
      <w:start w:val="1"/>
      <w:numFmt w:val="bullet"/>
      <w:lvlText w:val="•"/>
      <w:lvlJc w:val="left"/>
      <w:pPr>
        <w:ind w:left="55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96189E72">
      <w:start w:val="1"/>
      <w:numFmt w:val="bullet"/>
      <w:lvlText w:val="o"/>
      <w:lvlJc w:val="left"/>
      <w:pPr>
        <w:ind w:left="62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7CACB94">
      <w:start w:val="1"/>
      <w:numFmt w:val="bullet"/>
      <w:lvlText w:val="▪"/>
      <w:lvlJc w:val="left"/>
      <w:pPr>
        <w:ind w:left="69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AB574C3"/>
    <w:multiLevelType w:val="multilevel"/>
    <w:tmpl w:val="553441E6"/>
    <w:lvl w:ilvl="0">
      <w:start w:val="2"/>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4"/>
      <w:numFmt w:val="decimal"/>
      <w:lvlText w:val="%1.%2"/>
      <w:lvlJc w:val="left"/>
      <w:pPr>
        <w:ind w:left="7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2"/>
      <w:numFmt w:val="decimal"/>
      <w:lvlRestart w:val="0"/>
      <w:lvlText w:val="%1.%2.%3."/>
      <w:lvlJc w:val="left"/>
      <w:pPr>
        <w:ind w:left="7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5562678"/>
    <w:multiLevelType w:val="multilevel"/>
    <w:tmpl w:val="20B40E1C"/>
    <w:lvl w:ilvl="0">
      <w:start w:val="2"/>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8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104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2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44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16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88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0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2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5910263"/>
    <w:multiLevelType w:val="multilevel"/>
    <w:tmpl w:val="69988DB6"/>
    <w:lvl w:ilvl="0">
      <w:start w:val="2"/>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70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106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4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D713543"/>
    <w:multiLevelType w:val="hybridMultilevel"/>
    <w:tmpl w:val="16A0805E"/>
    <w:lvl w:ilvl="0" w:tplc="3836C7D0">
      <w:start w:val="1"/>
      <w:numFmt w:val="bullet"/>
      <w:lvlText w:val=""/>
      <w:lvlJc w:val="left"/>
      <w:pPr>
        <w:ind w:left="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B4E98AE">
      <w:start w:val="1"/>
      <w:numFmt w:val="bullet"/>
      <w:lvlText w:val="o"/>
      <w:lvlJc w:val="left"/>
      <w:pPr>
        <w:ind w:left="17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AF0F6F6">
      <w:start w:val="1"/>
      <w:numFmt w:val="bullet"/>
      <w:lvlText w:val="▪"/>
      <w:lvlJc w:val="left"/>
      <w:pPr>
        <w:ind w:left="25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49852FA">
      <w:start w:val="1"/>
      <w:numFmt w:val="bullet"/>
      <w:lvlText w:val="•"/>
      <w:lvlJc w:val="left"/>
      <w:pPr>
        <w:ind w:left="32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D166C8F0">
      <w:start w:val="1"/>
      <w:numFmt w:val="bullet"/>
      <w:lvlText w:val="o"/>
      <w:lvlJc w:val="left"/>
      <w:pPr>
        <w:ind w:left="395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A32B7D4">
      <w:start w:val="1"/>
      <w:numFmt w:val="bullet"/>
      <w:lvlText w:val="▪"/>
      <w:lvlJc w:val="left"/>
      <w:pPr>
        <w:ind w:left="467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E165154">
      <w:start w:val="1"/>
      <w:numFmt w:val="bullet"/>
      <w:lvlText w:val="•"/>
      <w:lvlJc w:val="left"/>
      <w:pPr>
        <w:ind w:left="539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DC6130E">
      <w:start w:val="1"/>
      <w:numFmt w:val="bullet"/>
      <w:lvlText w:val="o"/>
      <w:lvlJc w:val="left"/>
      <w:pPr>
        <w:ind w:left="611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24CAEB8">
      <w:start w:val="1"/>
      <w:numFmt w:val="bullet"/>
      <w:lvlText w:val="▪"/>
      <w:lvlJc w:val="left"/>
      <w:pPr>
        <w:ind w:left="683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6D44F33"/>
    <w:multiLevelType w:val="hybridMultilevel"/>
    <w:tmpl w:val="5D9E093E"/>
    <w:lvl w:ilvl="0" w:tplc="E4AC3066">
      <w:start w:val="1"/>
      <w:numFmt w:val="bullet"/>
      <w:lvlText w:val="-"/>
      <w:lvlJc w:val="left"/>
      <w:pPr>
        <w:ind w:left="7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3B4AB42">
      <w:start w:val="1"/>
      <w:numFmt w:val="bullet"/>
      <w:lvlText w:val="o"/>
      <w:lvlJc w:val="left"/>
      <w:pPr>
        <w:ind w:left="1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116427C">
      <w:start w:val="1"/>
      <w:numFmt w:val="bullet"/>
      <w:lvlText w:val="▪"/>
      <w:lvlJc w:val="left"/>
      <w:pPr>
        <w:ind w:left="2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464146">
      <w:start w:val="1"/>
      <w:numFmt w:val="bullet"/>
      <w:lvlText w:val="•"/>
      <w:lvlJc w:val="left"/>
      <w:pPr>
        <w:ind w:left="2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912471A">
      <w:start w:val="1"/>
      <w:numFmt w:val="bullet"/>
      <w:lvlText w:val="o"/>
      <w:lvlJc w:val="left"/>
      <w:pPr>
        <w:ind w:left="3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DB2BC70">
      <w:start w:val="1"/>
      <w:numFmt w:val="bullet"/>
      <w:lvlText w:val="▪"/>
      <w:lvlJc w:val="left"/>
      <w:pPr>
        <w:ind w:left="4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DA29B12">
      <w:start w:val="1"/>
      <w:numFmt w:val="bullet"/>
      <w:lvlText w:val="•"/>
      <w:lvlJc w:val="left"/>
      <w:pPr>
        <w:ind w:left="4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CCA32E">
      <w:start w:val="1"/>
      <w:numFmt w:val="bullet"/>
      <w:lvlText w:val="o"/>
      <w:lvlJc w:val="left"/>
      <w:pPr>
        <w:ind w:left="5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7EA35EE">
      <w:start w:val="1"/>
      <w:numFmt w:val="bullet"/>
      <w:lvlText w:val="▪"/>
      <w:lvlJc w:val="left"/>
      <w:pPr>
        <w:ind w:left="64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E456A9E"/>
    <w:multiLevelType w:val="multilevel"/>
    <w:tmpl w:val="1994A5D6"/>
    <w:lvl w:ilvl="0">
      <w:start w:val="2"/>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71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2"/>
      <w:numFmt w:val="decimal"/>
      <w:lvlRestart w:val="0"/>
      <w:lvlText w:val="%1.%2.%3."/>
      <w:lvlJc w:val="left"/>
      <w:pPr>
        <w:ind w:left="1075"/>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7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1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5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7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39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3"/>
  </w:num>
  <w:num w:numId="3">
    <w:abstractNumId w:val="4"/>
  </w:num>
  <w:num w:numId="4">
    <w:abstractNumId w:val="5"/>
  </w:num>
  <w:num w:numId="5">
    <w:abstractNumId w:val="8"/>
  </w:num>
  <w:num w:numId="6">
    <w:abstractNumId w:val="7"/>
  </w:num>
  <w:num w:numId="7">
    <w:abstractNumId w:val="1"/>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80"/>
  <w:doNotDisplayPageBoundarie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FBD"/>
    <w:rsid w:val="00073789"/>
    <w:rsid w:val="000F41C6"/>
    <w:rsid w:val="00183ECD"/>
    <w:rsid w:val="00192186"/>
    <w:rsid w:val="00196698"/>
    <w:rsid w:val="00213A86"/>
    <w:rsid w:val="0024075D"/>
    <w:rsid w:val="00457509"/>
    <w:rsid w:val="00523857"/>
    <w:rsid w:val="00560BC3"/>
    <w:rsid w:val="0066743C"/>
    <w:rsid w:val="008C76A1"/>
    <w:rsid w:val="00987FBD"/>
    <w:rsid w:val="009B5FAF"/>
    <w:rsid w:val="00B92218"/>
    <w:rsid w:val="00D6473F"/>
    <w:rsid w:val="00D679BA"/>
    <w:rsid w:val="00D97823"/>
    <w:rsid w:val="00DF3E44"/>
    <w:rsid w:val="00EA2AC2"/>
    <w:rsid w:val="00EC3C4A"/>
    <w:rsid w:val="00ED5509"/>
    <w:rsid w:val="00ED752B"/>
    <w:rsid w:val="00EE30D0"/>
    <w:rsid w:val="00F805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B4C4B"/>
  <w15:docId w15:val="{9BCAD3B7-117B-4086-B594-379A64BFE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357" w:lineRule="auto"/>
      <w:ind w:right="52" w:firstLine="701"/>
      <w:jc w:val="both"/>
    </w:pPr>
    <w:rPr>
      <w:rFonts w:ascii="Times New Roman" w:eastAsia="Times New Roman" w:hAnsi="Times New Roman" w:cs="Times New Roman"/>
      <w:color w:val="000000"/>
    </w:rPr>
  </w:style>
  <w:style w:type="paragraph" w:styleId="1">
    <w:name w:val="heading 1"/>
    <w:next w:val="a"/>
    <w:link w:val="10"/>
    <w:uiPriority w:val="9"/>
    <w:unhideWhenUsed/>
    <w:qFormat/>
    <w:pPr>
      <w:keepNext/>
      <w:keepLines/>
      <w:spacing w:after="107"/>
      <w:ind w:left="10" w:right="742" w:hanging="10"/>
      <w:jc w:val="center"/>
      <w:outlineLvl w:val="0"/>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rmal (Web)"/>
    <w:basedOn w:val="a"/>
    <w:uiPriority w:val="99"/>
    <w:semiHidden/>
    <w:unhideWhenUsed/>
    <w:rsid w:val="00213A86"/>
    <w:pPr>
      <w:spacing w:before="100" w:beforeAutospacing="1" w:after="100" w:afterAutospacing="1" w:line="240" w:lineRule="auto"/>
      <w:ind w:right="0" w:firstLine="0"/>
      <w:jc w:val="left"/>
    </w:pPr>
    <w:rPr>
      <w:color w:val="auto"/>
      <w:sz w:val="24"/>
      <w:szCs w:val="24"/>
    </w:rPr>
  </w:style>
  <w:style w:type="character" w:customStyle="1" w:styleId="structures">
    <w:name w:val="structures"/>
    <w:basedOn w:val="a0"/>
    <w:rsid w:val="00213A86"/>
  </w:style>
  <w:style w:type="paragraph" w:styleId="a4">
    <w:name w:val="List Paragraph"/>
    <w:basedOn w:val="a"/>
    <w:uiPriority w:val="34"/>
    <w:qFormat/>
    <w:rsid w:val="00EA2A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1492</Words>
  <Characters>8509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Махфузахон Джалилова</dc:creator>
  <cp:keywords/>
  <cp:lastModifiedBy>Dilorom Matkarimova</cp:lastModifiedBy>
  <cp:revision>2</cp:revision>
  <dcterms:created xsi:type="dcterms:W3CDTF">2025-01-10T14:21:00Z</dcterms:created>
  <dcterms:modified xsi:type="dcterms:W3CDTF">2025-01-10T14:21:00Z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5" w:kind="variable" w:type="string" w:valueMode="normal" w:required="false" w:groupID="1">
    <w:identifier xml:space="preserve">ID5</w:identifier>
    <w:name xml:space="preserve">Shartnoma tuzilgan joy</w:name>
    <w:value w:hidden="false">
      <w:unit w:active="false"/>
    </w:value>
  </w:element>
  <w:element w:id="6" w:kind="category" w:type="string" w:valueMode="normal" w:required="false" w:groupID="6">
    <w:identifier xml:space="preserve">ID6</w:identifier>
    <w:name xml:space="preserve">Taraflar</w:name>
    <w:value w:hidden="true">
      <w:unit w:active="false"/>
    </w:value>
  </w:element>
  <w:element w:id="7" w:kind="variable" w:type="string" w:valueMode="normal" w:required="false" w:groupID="6">
    <w:identifier xml:space="preserve">ID7</w:identifier>
    <w:name xml:space="preserve">Sugʻurta kompaniyasining nomi</w:name>
    <w:value w:hidden="false">
      <w:unit w:active="false"/>
    </w:value>
  </w:element>
  <w:element w:id="8" w:kind="variable" w:type="string" w:valueMode="normal" w:required="false" w:groupID="6">
    <w:identifier xml:space="preserve">ID8</w:identifier>
    <w:name xml:space="preserve">Sugʻurta kompaniyasiga shartnoma tuzish huquqini beruvchi hujjat</w:name>
    <w:value w:hidden="false">
      <w:unit w:active="false"/>
    </w:value>
  </w:element>
  <w:element w:id="9" w:kind="variable" w:type="string" w:valueMode="normal" w:required="false" w:groupID="6">
    <w:identifier xml:space="preserve">ID9</w:identifier>
    <w:name xml:space="preserve">Sugʻurta kompaniyasi rahbari F.I.O</w:name>
    <w:value w:hidden="false">
      <w:unit w:active="false"/>
    </w:value>
  </w:element>
  <w:element w:id="10" w:kind="variable" w:type="string" w:valueMode="normal" w:required="false" w:groupID="6">
    <w:identifier xml:space="preserve">ID10</w:identifier>
    <w:name xml:space="preserve">Agentning F.I.O</w:name>
    <w:value w:hidden="false">
      <w:unit w:active="false"/>
    </w:value>
  </w:element>
  <w:element w:id="11" w:kind="category" w:type="string" w:valueMode="normal" w:required="false" w:groupID="11">
    <w:identifier xml:space="preserve">ID11</w:identifier>
    <w:name xml:space="preserve">Shartnoma shartlari</w:name>
    <w:value w:hidden="true">
      <w:unit w:active="false"/>
    </w:value>
  </w:element>
  <w:element w:id="12" w:kind="variable" w:type="string" w:valueMode="normal" w:required="false" w:groupID="11">
    <w:identifier xml:space="preserve">ID12</w:identifier>
    <w:name xml:space="preserve">Agent Kompaniya nomidan amalga oshirishi ko‘zda tutilgan xizmatlar nomi</w:name>
    <w:value w:hidden="false">
      <w:unit w:active="false"/>
    </w:value>
  </w:element>
  <w:element w:id="13" w:kind="variable" w:type="string" w:valueMode="normal" w:required="false" w:groupID="11">
    <w:identifier xml:space="preserve">ID13</w:identifier>
    <w:name xml:space="preserve">Yer usti transport vositalarini ixtiyoriy sugʻurta qilish sugʻurta turi boʻyicha Agentga beriladigan foiz miqdori</w:name>
    <w:value w:hidden="false">
      <w:unit w:active="false"/>
    </w:value>
  </w:element>
  <w:element w:id="14" w:kind="variable" w:type="string" w:valueMode="normal" w:required="false" w:groupID="11">
    <w:identifier xml:space="preserve">ID14</w:identifier>
    <w:name xml:space="preserve">Transport vositalari egalarining fuqarolik javobgarligini majburiy sugʻurta qilish sugʻurta turi boʻyicha Agentga beriladigan foiz miqdori</w:name>
    <w:value w:hidden="false">
      <w:unit w:active="false"/>
    </w:value>
  </w:element>
  <w:element w:id="15" w:kind="variable" w:type="string" w:valueMode="normal" w:required="false" w:groupID="11">
    <w:identifier xml:space="preserve">ID15</w:identifier>
    <w:name xml:space="preserve">Taraflar tomonidan to‘lanishi mumkin bo‘lgan penya miqdori</w:name>
    <w:value w:hidden="false">
      <w:unit w:active="false"/>
    </w:value>
  </w:element>
  <w:element w:id="16" w:kind="variable" w:type="string" w:valueMode="normal" w:required="false" w:groupID="11">
    <w:identifier xml:space="preserve">ID16</w:identifier>
    <w:name xml:space="preserve">Shartnomaning amal qilish muddati</w:name>
    <w:value w:hidden="false">
      <w:unit w:active="false"/>
    </w:value>
  </w:element>
  <w:element w:id="17" w:kind="category" w:type="string" w:valueMode="normal" w:required="false" w:groupID="17">
    <w:identifier xml:space="preserve">ID17</w:identifier>
    <w:name xml:space="preserve">Taraflarning rekvizitlari</w:name>
    <w:value w:hidden="true">
      <w:unit w:active="false"/>
    </w:value>
  </w:element>
  <w:element w:id="18" w:kind="variable" w:type="string" w:valueMode="normal" w:required="false" w:groupID="17">
    <w:identifier xml:space="preserve">ID18</w:identifier>
    <w:name xml:space="preserve">Sugʻurta kompaniyasining yuridik manzili</w:name>
    <w:value w:hidden="false">
      <w:unit w:active="false"/>
    </w:value>
  </w:element>
  <w:element w:id="19" w:kind="variable" w:type="string" w:valueMode="normal" w:required="false" w:groupID="17">
    <w:identifier xml:space="preserve">ID19</w:identifier>
    <w:name xml:space="preserve">Sugʻurta kompaniyasining hisob raqami</w:name>
    <w:value w:hidden="false">
      <w:unit w:active="false"/>
    </w:value>
  </w:element>
  <w:element w:id="20" w:kind="variable" w:type="string" w:valueMode="normal" w:required="false" w:groupID="17">
    <w:identifier xml:space="preserve">ID20</w:identifier>
    <w:name xml:space="preserve">Sugʻurta kompaniyasining bank kodi</w:name>
    <w:value w:hidden="false">
      <w:unit w:active="false"/>
    </w:value>
  </w:element>
  <w:element w:id="21" w:kind="variable" w:type="string" w:valueMode="normal" w:required="false" w:groupID="17">
    <w:identifier xml:space="preserve">ID21</w:identifier>
    <w:name xml:space="preserve">Sugʻurta kompaniyasining STIR raqami</w:name>
    <w:value w:hidden="false">
      <w:unit w:active="false"/>
    </w:value>
  </w:element>
  <w:element w:id="22" w:kind="variable" w:type="string" w:valueMode="normal" w:required="false" w:groupID="17">
    <w:identifier xml:space="preserve">ID22</w:identifier>
    <w:name xml:space="preserve">Sugʻurta kompaniyasi bilan bog‘lanish uchun telefon raqami</w:name>
    <w:value w:hidden="false">
      <w:unit w:active="false"/>
    </w:value>
  </w:element>
  <w:element w:id="23" w:kind="variable" w:type="string" w:valueMode="normal" w:required="false" w:groupID="17">
    <w:identifier xml:space="preserve">ID23</w:identifier>
    <w:name xml:space="preserve">Agentning manzili</w:name>
    <w:value w:hidden="false">
      <w:unit w:active="false"/>
    </w:value>
  </w:element>
  <w:element w:id="24" w:kind="variable" w:type="string" w:valueMode="normal" w:required="false" w:groupID="17">
    <w:identifier xml:space="preserve">ID24</w:identifier>
    <w:name xml:space="preserve">Agentning INN raqami</w:name>
    <w:value w:hidden="false">
      <w:unit w:active="false"/>
    </w:value>
  </w:element>
  <w:element w:id="25" w:kind="variable" w:type="string" w:valueMode="normal" w:required="false" w:groupID="17">
    <w:identifier xml:space="preserve">ID25</w:identifier>
    <w:name xml:space="preserve">Agentning telefon raqami</w:name>
    <w:value w:hidden="false">
      <w:unit w:active="false"/>
    </w:value>
  </w:element>
</w:structure>
</file>