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3"/>
      </w:tblGrid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sz w:val="24"/>
                <w:rFonts w:ascii="Times New Roman" w:hAnsi="Times New Roman"/>
              </w:rPr>
            </w:pPr>
            <w:r>
              <w:rPr>
                <w:rStyle w:val="structures"/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rStyle w:val="structures"/>
                <w:b w:val="false"/>
                <w:vanish w:val="false"/>
                <w:sz w:val="24"/>
                <w:rFonts w:ascii="Times New Roman" w:hAnsi="Times New Roman"/>
              </w:rPr>
              <w:t xml:space="preserve">Da’vo arizasi berilayotgan sudning nomi</w:t>
              <w:fldChar w:fldCharType="end"/>
            </w:r>
            <w:r>
              <w:rPr>
                <w:b w:val="false"/>
                <w:color w:val="000000"/>
                <w:shd w:fill="ffffff"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673" w:type="dxa"/>
          </w:tcPr>
          <w:p>
            <w:pPr>
              <w:ind w:right="-826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  <w:t xml:space="preserve">Da’vogar: </w:t>
            </w:r>
            <w:r>
              <w:rPr>
                <w:rStyle w:val="structures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rStyle w:val="structures"/>
                <w:vanish w:val="false"/>
                <w:sz w:val="24"/>
                <w:rFonts w:ascii="Times New Roman" w:hAnsi="Times New Roman"/>
              </w:rPr>
              <w:t xml:space="preserve">Da’vogarning nomi 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Da’vogarning yuridik manzili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Da’vogarning STIR raqami 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Da’vogarning telefon raqami 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Da’vogarning elektron manzili   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  <w:t xml:space="preserve">Javobgar: </w:t>
            </w:r>
            <w:r>
              <w:rPr>
                <w:rStyle w:val="structures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rStyle w:val="structures"/>
                <w:vanish w:val="false"/>
                <w:sz w:val="24"/>
                <w:rFonts w:ascii="Times New Roman" w:hAnsi="Times New Roman"/>
              </w:rPr>
              <w:t xml:space="preserve">Javobgarning nomi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Javobgarning yuridik manzili</w:t>
              <w:fldChar w:fldCharType="end"/>
            </w:r>
          </w:p>
        </w:tc>
      </w:tr>
      <w:tr>
        <w:tc>
          <w:tcPr>
            <w:tcW w:w="4673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b w:val="false"/>
                <w:vanish w:val="false"/>
                <w:sz w:val="24"/>
                <w:rFonts w:ascii="Times New Roman" w:hAnsi="Times New Roman"/>
              </w:rPr>
              <w:t xml:space="preserve">Javobgarning STIR raqami   </w:t>
              <w:fldChar w:fldCharType="end"/>
            </w:r>
          </w:p>
        </w:tc>
      </w:tr>
      <w:tr>
        <w:tc>
          <w:tcPr>
            <w:tcW w:w="4672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 w:val="false"/>
              </w:rPr>
            </w:r>
          </w:p>
        </w:tc>
        <w:tc>
          <w:tcPr>
            <w:tcW w:w="4673" w:type="dxa"/>
          </w:tcPr>
          <w:p>
            <w:pPr>
              <w:ind w:right="-826"/>
              <w:rPr>
                <w:b/>
                <w:color w:val="000000"/>
                <w:shd w:fill="ffffff"/>
                <w:sz w:val="24"/>
                <w:rFonts w:ascii="Times New Roman" w:hAnsi="Times New Roman"/>
              </w:rPr>
            </w:pP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b w:val="false"/>
                <w:vanish w:val="false"/>
                <w:color w:val="000000"/>
                <w:shd w:fill="ffffff"/>
                <w:sz w:val="24"/>
                <w:rFonts w:ascii="Times New Roman" w:hAnsi="Times New Roman"/>
              </w:rPr>
              <w:t xml:space="preserve">Javobgarning telefon raqami</w:t>
              <w:fldChar w:fldCharType="end"/>
            </w:r>
          </w:p>
        </w:tc>
      </w:tr>
    </w:tbl>
    <w:p>
      <w:pPr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</w:t>
      </w: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(IPKning 93-95-moddalari tartibida)</w:t>
      </w:r>
    </w:p>
    <w:p>
      <w:pPr>
        <w:jc w:val="both"/>
        <w:ind w:firstLine="709"/>
        <w:rPr>
          <w:rStyle w:val="structures"/>
          <w:color w:val="000000"/>
          <w:shd w:fill="ffffff"/>
          <w:sz w:val="24"/>
          <w:rFonts w:ascii="Times New Roman" w:hAnsi="Times New Roman"/>
        </w:rPr>
      </w:pP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Da’vogarning nomi 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tomonidan </w:t>
      </w:r>
      <w:r>
        <w:rPr>
          <w:rStyle w:val="structures"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color w:val="000000"/>
          <w:shd w:fill="ffffff"/>
          <w:sz w:val="24"/>
          <w:rFonts w:ascii="Times New Roman" w:hAnsi="Times New Roman"/>
        </w:rPr>
        <w:t xml:space="preserve">Javobgarning nomi</w:t>
        <w:fldChar w:fldCharType="end"/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ga nisbatan kiritilgan da’vo arizasi bo‘yicha javobgardan </w:t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Undirilishi kerak bo‘lgan pul miqdori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>so‘m</w:t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asosiy qarz</w:t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va to‘lov kechiktirilganligi uchun hisoblangan </w:t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Penya miqdori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so‘m penyani, oldindan to‘langan </w:t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Davlat boji miqdori</w:t>
        <w:fldChar w:fldCharType="end"/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so‘m davlat boji va </w:t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Pochta xarajati miqdori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</w:t>
      </w:r>
      <w:r>
        <w:rPr>
          <w:rStyle w:val="structures"/>
          <w:color w:val="000000"/>
          <w:shd w:fill="ffffff"/>
          <w:sz w:val="24"/>
          <w:rFonts w:ascii="Times New Roman" w:hAnsi="Times New Roman"/>
        </w:rPr>
        <w:t xml:space="preserve">so‘m pochta xarajatini undirib berish so‘ralgan bo‘lib, da’vo arizamizda talablarni va sud xarajatlari to‘langanligini tasdiqlovchi hujjatlar ilova qilingan.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IPK 93-moddasining ikkinchi qismiga ko‘ra da’voni ta’minlashga, agar shunday choralarni ko‘rmaslik sud hujjatining ijrosini qiyinlashtirishi yoxud bajarib bo‘lmaydigan qilib qo‘yishi mumkin bo‘lsa, iqtisodiy sud ishlarini yuritishning har qanday bosqichida yo‘l qo‘yiladi.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so‘ngi oylarda o‘zining mol-mulklarini begonalashtirish choralarini ko‘rayotgan bo‘lib, shu kunga qadar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b/>
          <w:vanish w:val="false"/>
          <w:sz w:val="24"/>
          <w:rFonts w:ascii="Times New Roman" w:hAnsi="Times New Roman"/>
        </w:rPr>
        <w:t xml:space="preserve">Begonalashtirilgan mulklar yoziladi</w:t>
        <w:fldChar w:fldCharType="end"/>
      </w:r>
      <w:r>
        <w:rPr>
          <w:sz w:val="24"/>
          <w:rFonts w:ascii="Times New Roman" w:hAnsi="Times New Roman"/>
        </w:rPr>
        <w:t xml:space="preserve">lar begonalashtirildi.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Qabul qilinadigan sud hujjati qonuniy kuchga kirgunga qadar to‘lovdan qochish maqsadida molk-mulklarni uchinchi shaxslar nomiga o‘tkazib yuborishi mumkin. Bu sud qarorining ijrosini qiyinlashtiradi.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da’vo arizasi ko‘rib chiqulgunga qadar IPKning 93-95-moddalari tartibida javobgarning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b/>
          <w:vanish w:val="false"/>
          <w:sz w:val="24"/>
          <w:rFonts w:ascii="Times New Roman" w:hAnsi="Times New Roman"/>
        </w:rPr>
        <w:t xml:space="preserve">Da’voni ta’minlash uchun xatlanishi mumkin bo‘lgan mulklar yoziladi</w:t>
        <w:fldChar w:fldCharType="end"/>
      </w:r>
      <w:r>
        <w:rPr>
          <w:sz w:val="24"/>
          <w:rFonts w:ascii="Times New Roman" w:hAnsi="Times New Roman"/>
        </w:rPr>
        <w:t xml:space="preserve">ni xatlashdan iborat bo‘lgan da’voni ta’minlash chorasini qo‘llashingizni so‘rayman.</w:t>
      </w:r>
    </w:p>
    <w:p>
      <w:pPr>
        <w:jc w:val="both"/>
        <w:ind w:firstLine="709"/>
        <w:rPr>
          <w:rStyle w:val="structures"/>
          <w:b/>
          <w:color w:val="000000"/>
          <w:shd w:fill="ffffff"/>
          <w:sz w:val="24"/>
          <w:rFonts w:ascii="Times New Roman" w:hAnsi="Times New Roman"/>
        </w:rPr>
      </w:pP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Da’vogarning nomi 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direktori                           </w:t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structures"/>
          <w:b/>
          <w:vanish w:val="false"/>
          <w:color w:val="000000"/>
          <w:shd w:fill="ffffff"/>
          <w:sz w:val="24"/>
          <w:rFonts w:ascii="Times New Roman" w:hAnsi="Times New Roman"/>
        </w:rPr>
        <w:t xml:space="preserve">Da’vogar tashkilot direktorining F.I.O si</w:t>
        <w:fldChar w:fldCharType="end"/>
      </w: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  <w:t xml:space="preserve">      </w:t>
      </w:r>
    </w:p>
    <w:p>
      <w:pPr>
        <w:jc w:val="both"/>
        <w:ind w:firstLine="709"/>
        <w:rPr>
          <w:rStyle w:val="structures"/>
          <w:b/>
          <w:color w:val="000000"/>
          <w:shd w:fill="ffffff"/>
          <w:sz w:val="24"/>
          <w:rFonts w:ascii="Times New Roman" w:hAnsi="Times New Roman"/>
        </w:rPr>
      </w:pPr>
    </w:p>
    <w:p>
      <w:pPr>
        <w:jc w:val="both"/>
        <w:ind w:firstLine="709"/>
        <w:rPr>
          <w:rStyle w:val="structures"/>
          <w:b/>
          <w:color w:val="000000"/>
          <w:shd w:fill="ffffff"/>
          <w:sz w:val="24"/>
          <w:rFonts w:ascii="Times New Roman" w:hAnsi="Times New Roman"/>
        </w:rPr>
      </w:pPr>
      <w:r>
        <w:rPr>
          <w:rStyle w:val="structures"/>
          <w:b/>
          <w:color w:val="000000"/>
          <w:shd w:fill="ffffff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F9"/>
    <w:rsid w:val="001C323E"/>
    <w:rsid w:val="0037338B"/>
    <w:rsid w:val="003C25D9"/>
    <w:rsid w:val="004C7F95"/>
    <w:rsid w:val="005535A0"/>
    <w:rsid w:val="007D381D"/>
    <w:rsid w:val="00BD2EF9"/>
    <w:rsid w:val="00C031B6"/>
    <w:rsid w:val="00C571F2"/>
    <w:rsid w:val="00D0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61E0"/>
  <w15:chartTrackingRefBased/>
  <w15:docId w15:val="{2E47A7D9-AFC3-4C1D-AC61-2BC38F7A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2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uctures">
    <w:name w:val="structures"/>
    <w:basedOn w:val="a0"/>
    <w:rsid w:val="00D0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Ramazon Nasriddinov</dc:creator>
  <cp:keywords/>
  <dc:description/>
  <cp:lastModifiedBy>Rahimov Xudoyberdi</cp:lastModifiedBy>
  <cp:revision>9</cp:revision>
  <dcterms:created xsi:type="dcterms:W3CDTF">2025-04-22T10:40:00Z</dcterms:created>
  <dcterms:modified xsi:type="dcterms:W3CDTF">2025-10-06T05:41:00Z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Iltimosnoma rekvizitlari</w:name>
    <w:value w:hidden="true">
      <w:unit w:active="false"/>
    </w:value>
  </w:element>
  <w:element w:id="3" w:kind="variable" w:type="string" w:valueMode="normal" w:required="false" w:groupID="1">
    <w:identifier xml:space="preserve">ID3</w:identifier>
    <w:name xml:space="preserve">Da’vo arizasi berilayotgan sudning nomi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Da’vogarning nomi </w:name>
    <w:value w:hidden="false">
      <w:unit w:active="false"/>
    </w:value>
  </w:element>
  <w:element w:id="6" w:kind="variable" w:type="string" w:valueMode="normal" w:required="false" w:groupID="1">
    <w:identifier xml:space="preserve">ID6</w:identifier>
    <w:name xml:space="preserve">Da’vogarning yuridik manzili</w:name>
    <w:value w:hidden="false">
      <w:unit w:active="false"/>
    </w:value>
  </w:element>
  <w:element w:id="7" w:kind="variable" w:type="string" w:valueMode="normal" w:required="false" w:groupID="1">
    <w:identifier xml:space="preserve">ID7</w:identifier>
    <w:name xml:space="preserve">Da’vogarning STIR raqami </w:name>
    <w:value w:hidden="false">
      <w:unit w:active="false"/>
    </w:value>
  </w:element>
  <w:element w:id="8" w:kind="variable" w:type="string" w:valueMode="normal" w:required="false" w:groupID="1">
    <w:identifier xml:space="preserve">ID8</w:identifier>
    <w:name xml:space="preserve">Da’vogarning telefon raqami </w:name>
    <w:value w:hidden="false">
      <w:unit w:active="false"/>
    </w:value>
  </w:element>
  <w:element w:id="9" w:kind="variable" w:type="string" w:valueMode="normal" w:required="false" w:groupID="1">
    <w:identifier xml:space="preserve">ID9</w:identifier>
    <w:name xml:space="preserve">Da’vogarning elektron manzili   </w:name>
    <w:value w:hidden="false">
      <w:unit w:active="false"/>
    </w:value>
  </w:element>
  <w:element w:id="10" w:kind="variable" w:type="string" w:valueMode="normal" w:required="false" w:groupID="1">
    <w:identifier xml:space="preserve">ID10</w:identifier>
    <w:name xml:space="preserve">Javobgarning nomi</w:name>
    <w:value w:hidden="false">
      <w:unit w:active="false"/>
    </w:value>
  </w:element>
  <w:element w:id="11" w:kind="variable" w:type="string" w:valueMode="normal" w:required="false" w:groupID="1">
    <w:identifier xml:space="preserve">ID11</w:identifier>
    <w:name xml:space="preserve">Javobgarning yuridik manzili</w:name>
    <w:value w:hidden="false">
      <w:unit w:active="false"/>
    </w:value>
  </w:element>
  <w:element w:id="12" w:kind="variable" w:type="string" w:valueMode="normal" w:required="false" w:groupID="1">
    <w:identifier xml:space="preserve">ID12</w:identifier>
    <w:name xml:space="preserve">Javobgarning STIR raqami   </w:name>
    <w:value w:hidden="false">
      <w:unit w:active="false"/>
    </w:value>
  </w:element>
  <w:element w:id="13" w:kind="variable" w:type="string" w:valueMode="normal" w:required="false" w:groupID="1">
    <w:identifier xml:space="preserve">ID13</w:identifier>
    <w:name xml:space="preserve">Javobgarning telefon raqami</w:name>
    <w:value w:hidden="false">
      <w:unit w:active="false"/>
    </w:value>
  </w:element>
  <w:element w:id="14" w:kind="category" w:type="string" w:valueMode="normal" w:required="false" w:groupID="14">
    <w:identifier xml:space="preserve">ID14</w:identifier>
    <w:name xml:space="preserve">Iltimosnoma mazmuni </w:name>
    <w:value w:hidden="true">
      <w:unit w:active="false"/>
    </w:value>
  </w:element>
  <w:element w:id="15" w:kind="variable" w:type="string" w:valueMode="normal" w:required="false" w:groupID="14">
    <w:identifier xml:space="preserve">ID15</w:identifier>
    <w:name xml:space="preserve">Undirilishi kerak bo‘lgan pul miqdori</w:name>
    <w:value w:hidden="false">
      <w:unit w:active="false"/>
    </w:value>
  </w:element>
  <w:element w:id="16" w:kind="variable" w:type="string" w:valueMode="normal" w:required="false" w:groupID="14">
    <w:identifier xml:space="preserve">ID16</w:identifier>
    <w:name xml:space="preserve">Penya miqdori</w:name>
    <w:value w:hidden="false">
      <w:unit w:active="false"/>
    </w:value>
  </w:element>
  <w:element w:id="17" w:kind="variable" w:type="string" w:valueMode="normal" w:required="false" w:groupID="14">
    <w:identifier xml:space="preserve">ID17</w:identifier>
    <w:name xml:space="preserve">Davlat boji miqdori</w:name>
    <w:value w:hidden="false">
      <w:unit w:active="false"/>
    </w:value>
  </w:element>
  <w:element w:id="18" w:kind="variable" w:type="string" w:valueMode="normal" w:required="false" w:groupID="14">
    <w:identifier xml:space="preserve">ID18</w:identifier>
    <w:name xml:space="preserve">Pochta xarajati miqdori</w:name>
    <w:value w:hidden="false">
      <w:unit w:active="false"/>
    </w:value>
  </w:element>
  <w:element w:id="19" w:kind="variable" w:type="string" w:valueMode="normal" w:required="false" w:groupID="14">
    <w:identifier xml:space="preserve">ID19</w:identifier>
    <w:name xml:space="preserve">Begonalashtirilgan mulklar yoziladi</w:name>
    <w:value w:hidden="false">
      <w:unit w:active="false"/>
    </w:value>
  </w:element>
  <w:element w:id="20" w:kind="variable" w:type="string" w:valueMode="normal" w:required="false" w:groupID="14">
    <w:identifier xml:space="preserve">ID20</w:identifier>
    <w:name xml:space="preserve">Da’voni ta’minlash uchun xatlanishi mumkin bo‘lgan mulklar yoziladi</w:name>
    <w:value w:hidden="false">
      <w:unit w:active="false"/>
    </w:value>
  </w:element>
  <w:element w:id="21" w:kind="variable" w:type="string" w:valueMode="normal" w:required="false" w:groupID="14">
    <w:identifier xml:space="preserve">ID21</w:identifier>
    <w:name xml:space="preserve">Da’vogar tashkilot direktorining F.I.O si</w:name>
    <w:value w:hidden="false">
      <w:unit w:active="false"/>
    </w:value>
  </w:element>
</w:structure>
</file>